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EF69" w14:textId="77777777" w:rsidR="001D29E6" w:rsidRPr="006A27D8" w:rsidRDefault="001D29E6" w:rsidP="000244A6">
      <w:pPr>
        <w:pStyle w:val="Cmsor1"/>
        <w:rPr>
          <w:szCs w:val="22"/>
        </w:rPr>
      </w:pPr>
      <w:r w:rsidRPr="006A27D8">
        <w:rPr>
          <w:bCs/>
          <w:noProof/>
          <w:szCs w:val="22"/>
          <w:lang w:val="hu"/>
        </w:rPr>
        <w:t>1.</w:t>
      </w:r>
      <w:r w:rsidRPr="006A27D8">
        <w:rPr>
          <w:bCs/>
          <w:noProof/>
          <w:szCs w:val="22"/>
          <w:lang w:val="hu"/>
        </w:rPr>
        <w:tab/>
      </w:r>
      <w:r w:rsidRPr="006A27D8">
        <w:rPr>
          <w:bCs/>
          <w:szCs w:val="22"/>
          <w:lang w:val="hu"/>
        </w:rPr>
        <w:t>A GYÓGYSZER NEVE</w:t>
      </w:r>
    </w:p>
    <w:p w14:paraId="21B56158" w14:textId="77777777" w:rsidR="001D29E6" w:rsidRPr="006A27D8" w:rsidRDefault="001D29E6" w:rsidP="008D4234">
      <w:pPr>
        <w:spacing w:line="240" w:lineRule="auto"/>
        <w:rPr>
          <w:iCs/>
          <w:szCs w:val="22"/>
        </w:rPr>
      </w:pPr>
    </w:p>
    <w:p w14:paraId="46642A69" w14:textId="50070083" w:rsidR="007C7C46" w:rsidRPr="00643EF0" w:rsidRDefault="000B073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643EF0">
        <w:rPr>
          <w:szCs w:val="22"/>
          <w:lang w:val="hu"/>
        </w:rPr>
        <w:t>Esogno</w:t>
      </w:r>
      <w:proofErr w:type="spellEnd"/>
      <w:r w:rsidRPr="00643EF0">
        <w:rPr>
          <w:szCs w:val="22"/>
          <w:lang w:val="hu"/>
        </w:rPr>
        <w:t xml:space="preserve"> 1 mg filmtabletta</w:t>
      </w:r>
    </w:p>
    <w:p w14:paraId="0BBBD5E4" w14:textId="37AB8B77" w:rsidR="007C7C46" w:rsidRPr="00770FF1" w:rsidRDefault="000B073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770FF1">
        <w:rPr>
          <w:szCs w:val="22"/>
          <w:lang w:val="hu"/>
        </w:rPr>
        <w:t>Esogno</w:t>
      </w:r>
      <w:proofErr w:type="spellEnd"/>
      <w:r w:rsidRPr="00770FF1">
        <w:rPr>
          <w:szCs w:val="22"/>
          <w:lang w:val="hu"/>
        </w:rPr>
        <w:t xml:space="preserve"> 2 mg filmtabletta</w:t>
      </w:r>
    </w:p>
    <w:p w14:paraId="400933D7" w14:textId="4B1220F5" w:rsidR="007C7C46" w:rsidRPr="00643EF0" w:rsidRDefault="000B073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770FF1">
        <w:rPr>
          <w:szCs w:val="22"/>
          <w:lang w:val="hu"/>
        </w:rPr>
        <w:t>Esogno</w:t>
      </w:r>
      <w:proofErr w:type="spellEnd"/>
      <w:r w:rsidRPr="00770FF1">
        <w:rPr>
          <w:szCs w:val="22"/>
          <w:lang w:val="hu"/>
        </w:rPr>
        <w:t xml:space="preserve"> 3 mg filmtabletta</w:t>
      </w:r>
    </w:p>
    <w:p w14:paraId="3C1698CC" w14:textId="77777777" w:rsidR="001D29E6" w:rsidRPr="006A27D8" w:rsidRDefault="001D29E6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</w:rPr>
      </w:pPr>
    </w:p>
    <w:p w14:paraId="49F08DD8" w14:textId="77777777" w:rsidR="00C620A3" w:rsidRPr="00643EF0" w:rsidRDefault="00C620A3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</w:rPr>
      </w:pPr>
    </w:p>
    <w:p w14:paraId="2C7E791A" w14:textId="77777777" w:rsidR="001D29E6" w:rsidRPr="0082217D" w:rsidRDefault="001D29E6" w:rsidP="000244A6">
      <w:pPr>
        <w:pStyle w:val="Cmsor1"/>
        <w:rPr>
          <w:szCs w:val="22"/>
        </w:rPr>
      </w:pPr>
      <w:r w:rsidRPr="0082217D">
        <w:rPr>
          <w:bCs/>
          <w:szCs w:val="22"/>
          <w:lang w:val="hu"/>
        </w:rPr>
        <w:t>2.</w:t>
      </w:r>
      <w:r w:rsidRPr="0082217D">
        <w:rPr>
          <w:bCs/>
          <w:szCs w:val="22"/>
          <w:lang w:val="hu"/>
        </w:rPr>
        <w:tab/>
        <w:t>MINŐSÉGI ÉS MENNYISÉGI ÖSSZETÉTEL</w:t>
      </w:r>
    </w:p>
    <w:p w14:paraId="0AF8A7ED" w14:textId="77777777" w:rsidR="001D29E6" w:rsidRPr="00643EF0" w:rsidRDefault="001D29E6" w:rsidP="008D4234">
      <w:pPr>
        <w:spacing w:line="240" w:lineRule="auto"/>
        <w:rPr>
          <w:szCs w:val="22"/>
        </w:rPr>
      </w:pPr>
    </w:p>
    <w:p w14:paraId="004EDB89" w14:textId="118730D9" w:rsidR="007C7C46" w:rsidRPr="00770FF1" w:rsidRDefault="000B073A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  <w:proofErr w:type="spellStart"/>
      <w:r w:rsidRPr="00770FF1">
        <w:rPr>
          <w:iCs/>
          <w:szCs w:val="22"/>
          <w:u w:val="single"/>
          <w:lang w:val="hu"/>
        </w:rPr>
        <w:t>Esogno</w:t>
      </w:r>
      <w:proofErr w:type="spellEnd"/>
      <w:r w:rsidRPr="00770FF1">
        <w:rPr>
          <w:iCs/>
          <w:szCs w:val="22"/>
          <w:u w:val="single"/>
          <w:lang w:val="hu"/>
        </w:rPr>
        <w:t xml:space="preserve"> 1 mg filmtabletta</w:t>
      </w:r>
    </w:p>
    <w:p w14:paraId="6C48BF3A" w14:textId="67D058AE" w:rsidR="007C7C46" w:rsidRPr="00643EF0" w:rsidRDefault="007C7C46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  <w:r w:rsidRPr="00643EF0">
        <w:rPr>
          <w:szCs w:val="22"/>
          <w:lang w:val="hu"/>
        </w:rPr>
        <w:t xml:space="preserve">1 mg </w:t>
      </w:r>
      <w:proofErr w:type="spellStart"/>
      <w:r w:rsidRPr="00643EF0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43EF0">
        <w:rPr>
          <w:szCs w:val="22"/>
          <w:lang w:val="hu"/>
        </w:rPr>
        <w:t>opiklont</w:t>
      </w:r>
      <w:proofErr w:type="spellEnd"/>
      <w:r w:rsidRPr="00643EF0">
        <w:rPr>
          <w:szCs w:val="22"/>
          <w:lang w:val="hu"/>
        </w:rPr>
        <w:t xml:space="preserve"> tartalmaz</w:t>
      </w:r>
      <w:r w:rsidR="002C6E0E" w:rsidRPr="00643EF0">
        <w:rPr>
          <w:szCs w:val="22"/>
          <w:lang w:val="hu"/>
        </w:rPr>
        <w:t xml:space="preserve"> </w:t>
      </w:r>
      <w:proofErr w:type="spellStart"/>
      <w:r w:rsidR="002C6E0E" w:rsidRPr="00643EF0">
        <w:rPr>
          <w:szCs w:val="22"/>
          <w:lang w:val="hu"/>
        </w:rPr>
        <w:t>filmtablettánként</w:t>
      </w:r>
      <w:proofErr w:type="spellEnd"/>
      <w:r w:rsidRPr="00643EF0">
        <w:rPr>
          <w:szCs w:val="22"/>
          <w:lang w:val="hu"/>
        </w:rPr>
        <w:t>.</w:t>
      </w:r>
    </w:p>
    <w:p w14:paraId="753AEEC9" w14:textId="77777777" w:rsidR="00C620A3" w:rsidRPr="006A27D8" w:rsidRDefault="00C620A3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</w:p>
    <w:p w14:paraId="70E78137" w14:textId="0A69A025" w:rsidR="007C7C46" w:rsidRPr="00770FF1" w:rsidRDefault="000B073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proofErr w:type="spellStart"/>
      <w:r w:rsidRPr="00770FF1">
        <w:rPr>
          <w:iCs/>
          <w:szCs w:val="22"/>
          <w:u w:val="single"/>
          <w:lang w:val="hu"/>
        </w:rPr>
        <w:t>Esogno</w:t>
      </w:r>
      <w:proofErr w:type="spellEnd"/>
      <w:r w:rsidRPr="00770FF1">
        <w:rPr>
          <w:iCs/>
          <w:szCs w:val="22"/>
          <w:u w:val="single"/>
          <w:lang w:val="hu"/>
        </w:rPr>
        <w:t xml:space="preserve"> 2 mg filmtabletta</w:t>
      </w:r>
    </w:p>
    <w:p w14:paraId="7C54FFE8" w14:textId="3EE6FA68" w:rsidR="007C7C46" w:rsidRPr="00770FF1" w:rsidRDefault="007C7C46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  <w:r w:rsidRPr="00770FF1">
        <w:rPr>
          <w:szCs w:val="22"/>
          <w:lang w:val="hu"/>
        </w:rPr>
        <w:t xml:space="preserve">2 mg </w:t>
      </w:r>
      <w:proofErr w:type="spellStart"/>
      <w:r w:rsidRPr="00770FF1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770FF1">
        <w:rPr>
          <w:szCs w:val="22"/>
          <w:lang w:val="hu"/>
        </w:rPr>
        <w:t>opiklont</w:t>
      </w:r>
      <w:proofErr w:type="spellEnd"/>
      <w:r w:rsidRPr="00770FF1">
        <w:rPr>
          <w:szCs w:val="22"/>
          <w:lang w:val="hu"/>
        </w:rPr>
        <w:t xml:space="preserve"> tartalmaz</w:t>
      </w:r>
      <w:r w:rsidR="002C6E0E" w:rsidRPr="00643EF0">
        <w:rPr>
          <w:szCs w:val="22"/>
          <w:lang w:val="hu"/>
        </w:rPr>
        <w:t xml:space="preserve"> </w:t>
      </w:r>
      <w:proofErr w:type="spellStart"/>
      <w:r w:rsidR="002C6E0E" w:rsidRPr="00643EF0">
        <w:rPr>
          <w:szCs w:val="22"/>
          <w:lang w:val="hu"/>
        </w:rPr>
        <w:t>filmtablettánként</w:t>
      </w:r>
      <w:proofErr w:type="spellEnd"/>
      <w:r w:rsidRPr="00770FF1">
        <w:rPr>
          <w:szCs w:val="22"/>
          <w:lang w:val="hu"/>
        </w:rPr>
        <w:t>.</w:t>
      </w:r>
    </w:p>
    <w:p w14:paraId="49FFE8D9" w14:textId="77777777" w:rsidR="00C620A3" w:rsidRPr="00770FF1" w:rsidRDefault="00C620A3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</w:p>
    <w:p w14:paraId="7994A924" w14:textId="11315E79" w:rsidR="007C7C46" w:rsidRPr="00770FF1" w:rsidRDefault="000B073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proofErr w:type="spellStart"/>
      <w:r w:rsidRPr="00770FF1">
        <w:rPr>
          <w:iCs/>
          <w:szCs w:val="22"/>
          <w:u w:val="single"/>
          <w:lang w:val="hu"/>
        </w:rPr>
        <w:t>Esogno</w:t>
      </w:r>
      <w:proofErr w:type="spellEnd"/>
      <w:r w:rsidRPr="00770FF1">
        <w:rPr>
          <w:iCs/>
          <w:szCs w:val="22"/>
          <w:u w:val="single"/>
          <w:lang w:val="hu"/>
        </w:rPr>
        <w:t xml:space="preserve"> 3 mg filmtabletta</w:t>
      </w:r>
    </w:p>
    <w:p w14:paraId="5729C1E3" w14:textId="3E213089" w:rsidR="007C7C46" w:rsidRPr="00643EF0" w:rsidRDefault="007C7C46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  <w:r w:rsidRPr="00770FF1">
        <w:rPr>
          <w:szCs w:val="22"/>
          <w:lang w:val="hu"/>
        </w:rPr>
        <w:t xml:space="preserve">3 mg </w:t>
      </w:r>
      <w:proofErr w:type="spellStart"/>
      <w:r w:rsidRPr="00770FF1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770FF1">
        <w:rPr>
          <w:szCs w:val="22"/>
          <w:lang w:val="hu"/>
        </w:rPr>
        <w:t>opiklont</w:t>
      </w:r>
      <w:proofErr w:type="spellEnd"/>
      <w:r w:rsidRPr="00770FF1">
        <w:rPr>
          <w:szCs w:val="22"/>
          <w:lang w:val="hu"/>
        </w:rPr>
        <w:t xml:space="preserve"> tartalmaz</w:t>
      </w:r>
      <w:r w:rsidR="002C6E0E" w:rsidRPr="00643EF0">
        <w:rPr>
          <w:szCs w:val="22"/>
          <w:lang w:val="hu"/>
        </w:rPr>
        <w:t xml:space="preserve"> </w:t>
      </w:r>
      <w:proofErr w:type="spellStart"/>
      <w:r w:rsidR="002C6E0E" w:rsidRPr="00643EF0">
        <w:rPr>
          <w:szCs w:val="22"/>
          <w:lang w:val="hu"/>
        </w:rPr>
        <w:t>filmtablettánként</w:t>
      </w:r>
      <w:proofErr w:type="spellEnd"/>
      <w:r w:rsidRPr="00770FF1">
        <w:rPr>
          <w:szCs w:val="22"/>
          <w:lang w:val="hu"/>
        </w:rPr>
        <w:t>.</w:t>
      </w:r>
    </w:p>
    <w:p w14:paraId="3393314F" w14:textId="77777777" w:rsidR="006A0CD6" w:rsidRPr="006A27D8" w:rsidRDefault="006A0CD6" w:rsidP="008D4234">
      <w:pPr>
        <w:spacing w:line="240" w:lineRule="auto"/>
        <w:rPr>
          <w:szCs w:val="22"/>
        </w:rPr>
      </w:pPr>
    </w:p>
    <w:p w14:paraId="4641C256" w14:textId="77777777" w:rsidR="00C620A3" w:rsidRPr="00643EF0" w:rsidRDefault="00C620A3" w:rsidP="008D4234">
      <w:pPr>
        <w:spacing w:line="240" w:lineRule="auto"/>
        <w:rPr>
          <w:szCs w:val="22"/>
        </w:rPr>
      </w:pPr>
      <w:r w:rsidRPr="00643EF0">
        <w:rPr>
          <w:szCs w:val="22"/>
          <w:lang w:val="hu"/>
        </w:rPr>
        <w:t>A segédanyagok teljes listáját lásd a 6.1 pontban.</w:t>
      </w:r>
    </w:p>
    <w:p w14:paraId="63C94218" w14:textId="77777777" w:rsidR="00C620A3" w:rsidRPr="0082217D" w:rsidRDefault="00C620A3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</w:p>
    <w:p w14:paraId="3AF97F4A" w14:textId="77777777" w:rsidR="001D29E6" w:rsidRPr="00A2123E" w:rsidRDefault="001D29E6" w:rsidP="008D4234">
      <w:pPr>
        <w:spacing w:line="240" w:lineRule="auto"/>
        <w:rPr>
          <w:szCs w:val="22"/>
        </w:rPr>
      </w:pPr>
    </w:p>
    <w:p w14:paraId="10951B4B" w14:textId="77777777" w:rsidR="001D29E6" w:rsidRPr="007B3CA8" w:rsidRDefault="001D29E6" w:rsidP="000244A6">
      <w:pPr>
        <w:pStyle w:val="Cmsor1"/>
        <w:rPr>
          <w:szCs w:val="22"/>
        </w:rPr>
      </w:pPr>
      <w:r w:rsidRPr="007B3CA8">
        <w:rPr>
          <w:bCs/>
          <w:szCs w:val="22"/>
          <w:lang w:val="hu"/>
        </w:rPr>
        <w:t>3.</w:t>
      </w:r>
      <w:r w:rsidRPr="007B3CA8">
        <w:rPr>
          <w:bCs/>
          <w:szCs w:val="22"/>
          <w:lang w:val="hu"/>
        </w:rPr>
        <w:tab/>
        <w:t>GYÓGYSZERFORMA</w:t>
      </w:r>
    </w:p>
    <w:p w14:paraId="0D882405" w14:textId="77777777" w:rsidR="007D317B" w:rsidRPr="00643EF0" w:rsidRDefault="007D317B" w:rsidP="008D4234">
      <w:pPr>
        <w:spacing w:line="240" w:lineRule="auto"/>
        <w:rPr>
          <w:szCs w:val="22"/>
        </w:rPr>
      </w:pPr>
    </w:p>
    <w:p w14:paraId="403F6516" w14:textId="7F3F0E91" w:rsidR="007C7C46" w:rsidRPr="00643EF0" w:rsidRDefault="00C620A3" w:rsidP="008D4234">
      <w:pPr>
        <w:spacing w:line="240" w:lineRule="auto"/>
        <w:rPr>
          <w:szCs w:val="22"/>
        </w:rPr>
      </w:pPr>
      <w:r w:rsidRPr="00643EF0">
        <w:rPr>
          <w:szCs w:val="22"/>
          <w:lang w:val="hu"/>
        </w:rPr>
        <w:t>Filmtabletta</w:t>
      </w:r>
    </w:p>
    <w:p w14:paraId="5B15CAB1" w14:textId="77777777" w:rsidR="007C7C46" w:rsidRPr="0082217D" w:rsidRDefault="007C7C46" w:rsidP="008D4234">
      <w:pPr>
        <w:spacing w:line="240" w:lineRule="auto"/>
        <w:rPr>
          <w:szCs w:val="22"/>
        </w:rPr>
      </w:pPr>
    </w:p>
    <w:p w14:paraId="6E0DD000" w14:textId="2E01EFD2" w:rsidR="00C620A3" w:rsidRPr="00770FF1" w:rsidRDefault="000B073A" w:rsidP="008D42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  <w:proofErr w:type="spellStart"/>
      <w:r w:rsidRPr="00770FF1">
        <w:rPr>
          <w:iCs/>
          <w:szCs w:val="22"/>
          <w:u w:val="single"/>
          <w:lang w:val="hu"/>
        </w:rPr>
        <w:t>Esogno</w:t>
      </w:r>
      <w:proofErr w:type="spellEnd"/>
      <w:r w:rsidRPr="00770FF1">
        <w:rPr>
          <w:iCs/>
          <w:szCs w:val="22"/>
          <w:u w:val="single"/>
          <w:lang w:val="hu"/>
        </w:rPr>
        <w:t xml:space="preserve"> 1 mg filmtabletta</w:t>
      </w:r>
    </w:p>
    <w:p w14:paraId="22F178D4" w14:textId="5A628C21" w:rsidR="0063641C" w:rsidRPr="00643EF0" w:rsidRDefault="0063641C" w:rsidP="00770FF1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</w:rPr>
      </w:pPr>
      <w:r w:rsidRPr="00643EF0">
        <w:rPr>
          <w:szCs w:val="22"/>
          <w:lang w:val="hu"/>
        </w:rPr>
        <w:t xml:space="preserve">Világoskék, kerek, mindkét oldalán domború, </w:t>
      </w:r>
      <w:r w:rsidR="002C6E0E" w:rsidRPr="00643EF0">
        <w:rPr>
          <w:szCs w:val="22"/>
          <w:lang w:val="hu"/>
        </w:rPr>
        <w:t>egyik oldalán „1” jelöléssel ellátott filmtabletta</w:t>
      </w:r>
      <w:r w:rsidR="002C6E0E" w:rsidRPr="006A27D8">
        <w:rPr>
          <w:szCs w:val="22"/>
          <w:lang w:val="hu"/>
        </w:rPr>
        <w:t>. Á</w:t>
      </w:r>
      <w:r w:rsidRPr="006A27D8">
        <w:rPr>
          <w:szCs w:val="22"/>
          <w:lang w:val="hu"/>
        </w:rPr>
        <w:t xml:space="preserve">tlagos </w:t>
      </w:r>
      <w:r w:rsidR="002C6E0E" w:rsidRPr="006A27D8">
        <w:rPr>
          <w:szCs w:val="22"/>
          <w:lang w:val="hu"/>
        </w:rPr>
        <w:t xml:space="preserve">átmérő </w:t>
      </w:r>
      <w:r w:rsidRPr="00643EF0">
        <w:rPr>
          <w:szCs w:val="22"/>
          <w:lang w:val="hu"/>
        </w:rPr>
        <w:t>6,5 mm.</w:t>
      </w:r>
    </w:p>
    <w:p w14:paraId="24B514FD" w14:textId="77777777" w:rsidR="0063641C" w:rsidRPr="00643EF0" w:rsidRDefault="0063641C" w:rsidP="008D4234">
      <w:pPr>
        <w:pStyle w:val="EMEAEnBodyText"/>
        <w:autoSpaceDE w:val="0"/>
        <w:autoSpaceDN w:val="0"/>
        <w:adjustRightInd w:val="0"/>
        <w:spacing w:before="0" w:after="0"/>
        <w:rPr>
          <w:i/>
          <w:szCs w:val="22"/>
        </w:rPr>
      </w:pPr>
    </w:p>
    <w:p w14:paraId="51F2FBAF" w14:textId="1B5A170B" w:rsidR="00C620A3" w:rsidRPr="00770FF1" w:rsidRDefault="000B073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proofErr w:type="spellStart"/>
      <w:r w:rsidRPr="00770FF1">
        <w:rPr>
          <w:iCs/>
          <w:szCs w:val="22"/>
          <w:u w:val="single"/>
          <w:lang w:val="hu"/>
        </w:rPr>
        <w:t>Esogno</w:t>
      </w:r>
      <w:proofErr w:type="spellEnd"/>
      <w:r w:rsidRPr="00770FF1">
        <w:rPr>
          <w:iCs/>
          <w:szCs w:val="22"/>
          <w:u w:val="single"/>
          <w:lang w:val="hu"/>
        </w:rPr>
        <w:t xml:space="preserve"> 2 mg filmtabletta</w:t>
      </w:r>
    </w:p>
    <w:p w14:paraId="11E60E4B" w14:textId="2BEEF034" w:rsidR="008B0CA4" w:rsidRPr="00643EF0" w:rsidRDefault="0063641C" w:rsidP="008B0CA4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</w:rPr>
      </w:pPr>
      <w:r w:rsidRPr="00770FF1">
        <w:rPr>
          <w:szCs w:val="22"/>
          <w:lang w:val="hu"/>
        </w:rPr>
        <w:t xml:space="preserve">Fehér, kerek, mindkét oldalán domború, </w:t>
      </w:r>
      <w:r w:rsidR="008B0CA4" w:rsidRPr="00643EF0">
        <w:rPr>
          <w:szCs w:val="22"/>
          <w:lang w:val="hu"/>
        </w:rPr>
        <w:t xml:space="preserve">egyik oldalán „2” jelöléssel ellátott </w:t>
      </w:r>
      <w:r w:rsidR="008B0CA4" w:rsidRPr="006A27D8">
        <w:rPr>
          <w:szCs w:val="22"/>
          <w:lang w:val="hu"/>
        </w:rPr>
        <w:t xml:space="preserve">filmtabletta. Átlagos </w:t>
      </w:r>
      <w:r w:rsidR="008B0CA4" w:rsidRPr="00643EF0">
        <w:rPr>
          <w:szCs w:val="22"/>
          <w:lang w:val="hu"/>
        </w:rPr>
        <w:t>átmérő 6,5 mm.</w:t>
      </w:r>
    </w:p>
    <w:p w14:paraId="4855CA3A" w14:textId="77777777" w:rsidR="0063641C" w:rsidRPr="00770FF1" w:rsidRDefault="0063641C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</w:rPr>
      </w:pPr>
    </w:p>
    <w:p w14:paraId="1E3BF1B5" w14:textId="6A32CCF9" w:rsidR="00C620A3" w:rsidRPr="00770FF1" w:rsidRDefault="000B073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proofErr w:type="spellStart"/>
      <w:r w:rsidRPr="00770FF1">
        <w:rPr>
          <w:iCs/>
          <w:szCs w:val="22"/>
          <w:u w:val="single"/>
          <w:lang w:val="hu"/>
        </w:rPr>
        <w:t>Esogno</w:t>
      </w:r>
      <w:proofErr w:type="spellEnd"/>
      <w:r w:rsidRPr="00770FF1">
        <w:rPr>
          <w:iCs/>
          <w:szCs w:val="22"/>
          <w:u w:val="single"/>
          <w:lang w:val="hu"/>
        </w:rPr>
        <w:t xml:space="preserve"> 3 mg filmtabletta</w:t>
      </w:r>
    </w:p>
    <w:p w14:paraId="7EE2CB89" w14:textId="17EE677B" w:rsidR="008B0CA4" w:rsidRPr="00643EF0" w:rsidRDefault="0063641C" w:rsidP="008B0CA4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</w:rPr>
      </w:pPr>
      <w:r w:rsidRPr="00770FF1">
        <w:rPr>
          <w:szCs w:val="22"/>
          <w:lang w:val="hu"/>
        </w:rPr>
        <w:t xml:space="preserve">Kék, kerek, mindkét oldalán domború, </w:t>
      </w:r>
      <w:r w:rsidR="008B0CA4" w:rsidRPr="00643EF0">
        <w:rPr>
          <w:szCs w:val="22"/>
          <w:lang w:val="hu"/>
        </w:rPr>
        <w:t xml:space="preserve">egyik oldalán „3” jelöléssel ellátott </w:t>
      </w:r>
      <w:r w:rsidR="008B0CA4" w:rsidRPr="006A27D8">
        <w:rPr>
          <w:szCs w:val="22"/>
          <w:lang w:val="hu"/>
        </w:rPr>
        <w:t xml:space="preserve">filmtabletta. Átlagos </w:t>
      </w:r>
      <w:r w:rsidR="008B0CA4" w:rsidRPr="00643EF0">
        <w:rPr>
          <w:szCs w:val="22"/>
          <w:lang w:val="hu"/>
        </w:rPr>
        <w:t>átmérő 6,5 mm.</w:t>
      </w:r>
    </w:p>
    <w:p w14:paraId="313B0DD2" w14:textId="77777777" w:rsidR="00C620A3" w:rsidRPr="00643EF0" w:rsidRDefault="00C620A3" w:rsidP="008D4234">
      <w:pPr>
        <w:spacing w:line="240" w:lineRule="auto"/>
        <w:rPr>
          <w:szCs w:val="22"/>
        </w:rPr>
      </w:pPr>
    </w:p>
    <w:p w14:paraId="418DF134" w14:textId="77777777" w:rsidR="001D29E6" w:rsidRPr="006A27D8" w:rsidRDefault="001D29E6" w:rsidP="008D4234">
      <w:pPr>
        <w:spacing w:line="240" w:lineRule="auto"/>
        <w:rPr>
          <w:szCs w:val="22"/>
        </w:rPr>
      </w:pPr>
    </w:p>
    <w:p w14:paraId="7D6B2F67" w14:textId="77777777" w:rsidR="001D29E6" w:rsidRPr="0082217D" w:rsidRDefault="001D29E6" w:rsidP="000244A6">
      <w:pPr>
        <w:pStyle w:val="Cmsor1"/>
        <w:rPr>
          <w:szCs w:val="22"/>
        </w:rPr>
      </w:pPr>
      <w:r w:rsidRPr="0082217D">
        <w:rPr>
          <w:bCs/>
          <w:szCs w:val="22"/>
          <w:lang w:val="hu"/>
        </w:rPr>
        <w:t>4.</w:t>
      </w:r>
      <w:r w:rsidRPr="0082217D">
        <w:rPr>
          <w:bCs/>
          <w:szCs w:val="22"/>
          <w:lang w:val="hu"/>
        </w:rPr>
        <w:tab/>
        <w:t>KLINIKAI JELLEMZŐK</w:t>
      </w:r>
    </w:p>
    <w:p w14:paraId="1406889E" w14:textId="77777777" w:rsidR="001D29E6" w:rsidRPr="00A2123E" w:rsidRDefault="001D29E6" w:rsidP="008D4234">
      <w:pPr>
        <w:spacing w:line="240" w:lineRule="auto"/>
        <w:rPr>
          <w:szCs w:val="22"/>
        </w:rPr>
      </w:pPr>
    </w:p>
    <w:p w14:paraId="59B3D529" w14:textId="77777777" w:rsidR="001D29E6" w:rsidRPr="007B3CA8" w:rsidRDefault="001D29E6" w:rsidP="000244A6">
      <w:pPr>
        <w:pStyle w:val="Cmsor2"/>
        <w:rPr>
          <w:szCs w:val="22"/>
        </w:rPr>
      </w:pPr>
      <w:r w:rsidRPr="007B3CA8">
        <w:rPr>
          <w:bCs/>
          <w:szCs w:val="22"/>
          <w:lang w:val="hu"/>
        </w:rPr>
        <w:t>4.1</w:t>
      </w:r>
      <w:r w:rsidRPr="007B3CA8">
        <w:rPr>
          <w:bCs/>
          <w:szCs w:val="22"/>
          <w:lang w:val="hu"/>
        </w:rPr>
        <w:tab/>
        <w:t>Terápiás javallatok</w:t>
      </w:r>
    </w:p>
    <w:p w14:paraId="596E77C7" w14:textId="77777777" w:rsidR="001166A5" w:rsidRPr="00643EF0" w:rsidRDefault="001166A5" w:rsidP="008D4234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63867AD1" w14:textId="39EE4D57" w:rsidR="00B57E6F" w:rsidRPr="00643EF0" w:rsidRDefault="000B073A" w:rsidP="008D4234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643EF0">
        <w:rPr>
          <w:color w:val="000000"/>
          <w:szCs w:val="22"/>
          <w:lang w:val="hu"/>
        </w:rPr>
        <w:t xml:space="preserve">Az </w:t>
      </w:r>
      <w:proofErr w:type="spellStart"/>
      <w:r w:rsidRPr="00643EF0">
        <w:rPr>
          <w:color w:val="000000"/>
          <w:szCs w:val="22"/>
          <w:lang w:val="hu"/>
        </w:rPr>
        <w:t>Esogno</w:t>
      </w:r>
      <w:proofErr w:type="spellEnd"/>
      <w:r w:rsidRPr="00643EF0">
        <w:rPr>
          <w:color w:val="000000"/>
          <w:szCs w:val="22"/>
          <w:lang w:val="hu"/>
        </w:rPr>
        <w:t xml:space="preserve"> felnőttek álmatlanságának kezelésére javallott, rendszerint rövid ideig.</w:t>
      </w:r>
    </w:p>
    <w:p w14:paraId="4081FF0B" w14:textId="77777777" w:rsidR="000442A6" w:rsidRPr="00643EF0" w:rsidRDefault="000442A6" w:rsidP="008D4234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3A144909" w14:textId="060555E3" w:rsidR="001D29E6" w:rsidRPr="00A2123E" w:rsidRDefault="002D17EC" w:rsidP="008D4234">
      <w:pPr>
        <w:spacing w:line="240" w:lineRule="auto"/>
        <w:rPr>
          <w:szCs w:val="22"/>
        </w:rPr>
      </w:pPr>
      <w:r w:rsidRPr="0082217D">
        <w:rPr>
          <w:szCs w:val="22"/>
          <w:lang w:val="hu"/>
        </w:rPr>
        <w:t xml:space="preserve">A </w:t>
      </w:r>
      <w:proofErr w:type="spellStart"/>
      <w:r w:rsidRPr="0082217D">
        <w:rPr>
          <w:szCs w:val="22"/>
          <w:lang w:val="hu"/>
        </w:rPr>
        <w:t>benzodiazepinek</w:t>
      </w:r>
      <w:proofErr w:type="spellEnd"/>
      <w:r w:rsidRPr="0082217D">
        <w:rPr>
          <w:szCs w:val="22"/>
          <w:lang w:val="hu"/>
        </w:rPr>
        <w:t xml:space="preserve"> vagy a </w:t>
      </w:r>
      <w:proofErr w:type="spellStart"/>
      <w:r w:rsidRPr="0082217D">
        <w:rPr>
          <w:szCs w:val="22"/>
          <w:lang w:val="hu"/>
        </w:rPr>
        <w:t>benzodiazepin</w:t>
      </w:r>
      <w:r w:rsidR="00863D86">
        <w:rPr>
          <w:szCs w:val="22"/>
          <w:lang w:val="hu"/>
        </w:rPr>
        <w:t>nnel</w:t>
      </w:r>
      <w:proofErr w:type="spellEnd"/>
      <w:r w:rsidR="00863D86">
        <w:rPr>
          <w:szCs w:val="22"/>
          <w:lang w:val="hu"/>
        </w:rPr>
        <w:t xml:space="preserve"> rokon</w:t>
      </w:r>
      <w:r w:rsidRPr="0082217D">
        <w:rPr>
          <w:szCs w:val="22"/>
          <w:lang w:val="hu"/>
        </w:rPr>
        <w:t xml:space="preserve"> hatóanyagok kizárólag akkor javallottak, ha az állapot súlyos, munkaképtelenséget okoz vagy rendkívüli megterhelést jelent a beteg számára.</w:t>
      </w:r>
    </w:p>
    <w:p w14:paraId="4C9E4194" w14:textId="77777777" w:rsidR="002D50B1" w:rsidRPr="007B3CA8" w:rsidRDefault="002D50B1" w:rsidP="008D4234">
      <w:pPr>
        <w:spacing w:line="240" w:lineRule="auto"/>
        <w:rPr>
          <w:szCs w:val="22"/>
        </w:rPr>
      </w:pPr>
    </w:p>
    <w:p w14:paraId="3742BF9A" w14:textId="77777777" w:rsidR="001D29E6" w:rsidRPr="00D24220" w:rsidRDefault="001D29E6" w:rsidP="000244A6">
      <w:pPr>
        <w:pStyle w:val="Cmsor2"/>
        <w:rPr>
          <w:szCs w:val="22"/>
        </w:rPr>
      </w:pPr>
      <w:r w:rsidRPr="00D24220">
        <w:rPr>
          <w:bCs/>
          <w:szCs w:val="22"/>
          <w:lang w:val="hu"/>
        </w:rPr>
        <w:t>4.2.</w:t>
      </w:r>
      <w:r w:rsidRPr="00D24220">
        <w:rPr>
          <w:bCs/>
          <w:szCs w:val="22"/>
          <w:lang w:val="hu"/>
        </w:rPr>
        <w:tab/>
        <w:t>Adagolás és alkalmazás</w:t>
      </w:r>
    </w:p>
    <w:p w14:paraId="16BD4EEA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778923EC" w14:textId="77777777" w:rsidR="00C53ACC" w:rsidRPr="00643EF0" w:rsidRDefault="00C53ACC" w:rsidP="008D423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>Adagolás</w:t>
      </w:r>
    </w:p>
    <w:p w14:paraId="225E81E4" w14:textId="054E26A5" w:rsidR="00FD319C" w:rsidRPr="00770FF1" w:rsidRDefault="00FD319C" w:rsidP="006A7175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i/>
          <w:iCs/>
          <w:szCs w:val="22"/>
          <w:lang w:val="hu"/>
        </w:rPr>
        <w:t>Felnőttek:</w:t>
      </w:r>
      <w:r w:rsidRPr="00643EF0">
        <w:rPr>
          <w:szCs w:val="22"/>
          <w:lang w:val="hu"/>
        </w:rPr>
        <w:t xml:space="preserve"> </w:t>
      </w:r>
      <w:r w:rsidRPr="00770FF1">
        <w:rPr>
          <w:szCs w:val="22"/>
          <w:lang w:val="hu"/>
        </w:rPr>
        <w:t>Az ajánlott kezdő</w:t>
      </w:r>
      <w:r w:rsidR="00000D6F" w:rsidRPr="00770FF1">
        <w:rPr>
          <w:szCs w:val="22"/>
          <w:lang w:val="hu"/>
        </w:rPr>
        <w:t xml:space="preserve"> </w:t>
      </w:r>
      <w:r w:rsidRPr="00770FF1">
        <w:rPr>
          <w:szCs w:val="22"/>
          <w:lang w:val="hu"/>
        </w:rPr>
        <w:t xml:space="preserve">adag 1 mg. Az adag klinikailag indokolt esetben 2 mg-ra vagy 3 mg-ra emelhető. Az </w:t>
      </w:r>
      <w:proofErr w:type="spellStart"/>
      <w:r w:rsidRPr="00770FF1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770FF1">
        <w:rPr>
          <w:szCs w:val="22"/>
          <w:lang w:val="hu"/>
        </w:rPr>
        <w:t>zopiklont</w:t>
      </w:r>
      <w:proofErr w:type="spellEnd"/>
      <w:r w:rsidRPr="00770FF1">
        <w:rPr>
          <w:szCs w:val="22"/>
          <w:lang w:val="hu"/>
        </w:rPr>
        <w:t xml:space="preserve"> a beteg számára hatásos legalacsonyabb dózisban ajánlott alkalmazni. Az </w:t>
      </w:r>
      <w:proofErr w:type="spellStart"/>
      <w:r w:rsidRPr="00770FF1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770FF1">
        <w:rPr>
          <w:szCs w:val="22"/>
          <w:lang w:val="hu"/>
        </w:rPr>
        <w:t>opiklon</w:t>
      </w:r>
      <w:proofErr w:type="spellEnd"/>
      <w:r w:rsidRPr="00770FF1">
        <w:rPr>
          <w:szCs w:val="22"/>
          <w:lang w:val="hu"/>
        </w:rPr>
        <w:t xml:space="preserve"> </w:t>
      </w:r>
      <w:r w:rsidR="00643EF0" w:rsidRPr="00770FF1">
        <w:rPr>
          <w:szCs w:val="22"/>
          <w:lang w:val="hu"/>
        </w:rPr>
        <w:t xml:space="preserve">teljes </w:t>
      </w:r>
      <w:r w:rsidRPr="00770FF1">
        <w:rPr>
          <w:szCs w:val="22"/>
          <w:lang w:val="hu"/>
        </w:rPr>
        <w:t>adagja nem haladhatja meg a 3 mg-ot.</w:t>
      </w:r>
    </w:p>
    <w:p w14:paraId="564DCBB5" w14:textId="1A71EE3A" w:rsidR="00BB443C" w:rsidRPr="00643EF0" w:rsidRDefault="00BB443C" w:rsidP="006A7175">
      <w:pPr>
        <w:tabs>
          <w:tab w:val="clear" w:pos="567"/>
        </w:tabs>
        <w:spacing w:line="240" w:lineRule="auto"/>
        <w:rPr>
          <w:szCs w:val="22"/>
        </w:rPr>
      </w:pPr>
    </w:p>
    <w:p w14:paraId="1FCCE7D0" w14:textId="222D4D7A" w:rsidR="006B24F4" w:rsidRPr="006A27D8" w:rsidRDefault="006B24F4" w:rsidP="006A7175">
      <w:pPr>
        <w:tabs>
          <w:tab w:val="clear" w:pos="567"/>
        </w:tabs>
        <w:spacing w:line="240" w:lineRule="auto"/>
        <w:rPr>
          <w:szCs w:val="22"/>
        </w:rPr>
      </w:pPr>
      <w:r w:rsidRPr="006A27D8">
        <w:rPr>
          <w:szCs w:val="22"/>
          <w:lang w:val="hu"/>
        </w:rPr>
        <w:t xml:space="preserve">Az </w:t>
      </w:r>
      <w:proofErr w:type="spellStart"/>
      <w:r w:rsidRPr="006A27D8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A27D8">
        <w:rPr>
          <w:szCs w:val="22"/>
          <w:lang w:val="hu"/>
        </w:rPr>
        <w:t>zopiklon</w:t>
      </w:r>
      <w:proofErr w:type="spellEnd"/>
      <w:r w:rsidRPr="006A27D8">
        <w:rPr>
          <w:szCs w:val="22"/>
          <w:lang w:val="hu"/>
        </w:rPr>
        <w:t xml:space="preserve"> adagját egyszerre kell bevenni lefekvéskor. Az éjszaka során nem szabad újabb adagot bevenni a gyógyszerből!</w:t>
      </w:r>
    </w:p>
    <w:p w14:paraId="1EA9CDF7" w14:textId="3DB70EC0" w:rsidR="00FD319C" w:rsidRPr="00643EF0" w:rsidRDefault="00FD319C" w:rsidP="008D4234">
      <w:pPr>
        <w:tabs>
          <w:tab w:val="clear" w:pos="567"/>
        </w:tabs>
        <w:spacing w:line="240" w:lineRule="auto"/>
        <w:rPr>
          <w:szCs w:val="22"/>
        </w:rPr>
      </w:pPr>
    </w:p>
    <w:p w14:paraId="03FE98CF" w14:textId="7970D847" w:rsidR="00AB25A7" w:rsidRPr="00643EF0" w:rsidRDefault="00AB25A7" w:rsidP="00AB25A7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 kezelés hossza semmilyen esetben se lépje túl a hatásos kezeléshez szükséges minimális időtartamot, és </w:t>
      </w:r>
      <w:r w:rsidRPr="0082217D">
        <w:rPr>
          <w:szCs w:val="22"/>
          <w:lang w:val="hu"/>
        </w:rPr>
        <w:t>ne legyen több mint négy hét, az adag fokozatos csökkentésének időszakát is beleértve.</w:t>
      </w:r>
    </w:p>
    <w:p w14:paraId="5938E2E3" w14:textId="77777777" w:rsidR="00AB25A7" w:rsidRPr="00643EF0" w:rsidRDefault="00AB25A7" w:rsidP="00AB25A7">
      <w:pPr>
        <w:tabs>
          <w:tab w:val="clear" w:pos="567"/>
        </w:tabs>
        <w:spacing w:line="240" w:lineRule="auto"/>
        <w:rPr>
          <w:szCs w:val="22"/>
        </w:rPr>
      </w:pPr>
    </w:p>
    <w:p w14:paraId="1B606974" w14:textId="67A87CF8" w:rsidR="00AB25A7" w:rsidRPr="00643EF0" w:rsidRDefault="00AB25A7" w:rsidP="00AB25A7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Bizonyos esetekben – például krónikus álmatlanságban szenvedő betegeknél – szükséges lehet a kezelési időszak kiterjesztése legfeljebb 6 hónapra (lásd 5.1 pont). Ehhez rendszeresen ellenőrizni és értékelni kell a beteg állapotát, </w:t>
      </w:r>
      <w:r w:rsidRPr="0082217D">
        <w:rPr>
          <w:szCs w:val="22"/>
          <w:lang w:val="hu"/>
        </w:rPr>
        <w:t>ugyanis az abúzus és a függőség kockázata a kezelés időtartamával emelkedik</w:t>
      </w:r>
      <w:r w:rsidRPr="00643EF0">
        <w:rPr>
          <w:szCs w:val="22"/>
          <w:lang w:val="hu"/>
        </w:rPr>
        <w:t xml:space="preserve"> (lásd 4.4 pont).</w:t>
      </w:r>
    </w:p>
    <w:p w14:paraId="5C01B508" w14:textId="1F99782A" w:rsidR="00AB25A7" w:rsidRPr="00643EF0" w:rsidRDefault="00AB25A7" w:rsidP="008D4234">
      <w:pPr>
        <w:tabs>
          <w:tab w:val="clear" w:pos="567"/>
        </w:tabs>
        <w:spacing w:line="240" w:lineRule="auto"/>
        <w:rPr>
          <w:szCs w:val="22"/>
        </w:rPr>
      </w:pPr>
    </w:p>
    <w:p w14:paraId="753F3AB0" w14:textId="77777777" w:rsidR="006B24F4" w:rsidRPr="0082217D" w:rsidRDefault="006B24F4" w:rsidP="006B24F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</w:rPr>
      </w:pPr>
      <w:r w:rsidRPr="0082217D">
        <w:rPr>
          <w:i/>
          <w:iCs/>
          <w:szCs w:val="22"/>
          <w:lang w:val="hu"/>
        </w:rPr>
        <w:t>Gyógyszerinterakciók</w:t>
      </w:r>
    </w:p>
    <w:p w14:paraId="15BB603C" w14:textId="4C54E289" w:rsidR="006B24F4" w:rsidRPr="00643EF0" w:rsidRDefault="006B24F4" w:rsidP="006B24F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A2123E">
        <w:rPr>
          <w:color w:val="000000"/>
          <w:szCs w:val="22"/>
          <w:lang w:val="hu"/>
        </w:rPr>
        <w:t xml:space="preserve">Az adag nem haladhatja meg a 2 mg-ot olyan nem idős felnőtt betegeknél, akik </w:t>
      </w:r>
      <w:proofErr w:type="spellStart"/>
      <w:r w:rsidRPr="00A2123E">
        <w:rPr>
          <w:color w:val="000000"/>
          <w:szCs w:val="22"/>
          <w:lang w:val="hu"/>
        </w:rPr>
        <w:t>ketokonazolt</w:t>
      </w:r>
      <w:proofErr w:type="spellEnd"/>
      <w:r w:rsidRPr="00A2123E">
        <w:rPr>
          <w:color w:val="000000"/>
          <w:szCs w:val="22"/>
          <w:lang w:val="hu"/>
        </w:rPr>
        <w:t xml:space="preserve"> vagy egyéb potens CYP3A4-gátlókat szednek. Az </w:t>
      </w:r>
      <w:proofErr w:type="spellStart"/>
      <w:r w:rsidRPr="00A2123E">
        <w:rPr>
          <w:color w:val="000000"/>
          <w:szCs w:val="22"/>
          <w:lang w:val="hu"/>
        </w:rPr>
        <w:t>esz</w:t>
      </w:r>
      <w:r w:rsidR="007040EF">
        <w:rPr>
          <w:color w:val="000000"/>
          <w:szCs w:val="22"/>
          <w:lang w:val="hu"/>
        </w:rPr>
        <w:t>z</w:t>
      </w:r>
      <w:r w:rsidRPr="00A2123E">
        <w:rPr>
          <w:color w:val="000000"/>
          <w:szCs w:val="22"/>
          <w:lang w:val="hu"/>
        </w:rPr>
        <w:t>opiklon</w:t>
      </w:r>
      <w:proofErr w:type="spellEnd"/>
      <w:r w:rsidRPr="00A2123E">
        <w:rPr>
          <w:color w:val="000000"/>
          <w:szCs w:val="22"/>
          <w:lang w:val="hu"/>
        </w:rPr>
        <w:t xml:space="preserve"> ellenjavallt azoknál az idős betegeknél, akik egyidejűleg potens CYP3A4-gátlókat is kapnak (lásd 4.3 pont). </w:t>
      </w:r>
      <w:r w:rsidRPr="00A2123E">
        <w:rPr>
          <w:szCs w:val="22"/>
          <w:lang w:val="hu"/>
        </w:rPr>
        <w:t xml:space="preserve">Továbbá szükségessé válhat az </w:t>
      </w:r>
      <w:proofErr w:type="spellStart"/>
      <w:r w:rsidRPr="00A2123E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A2123E">
        <w:rPr>
          <w:szCs w:val="22"/>
          <w:lang w:val="hu"/>
        </w:rPr>
        <w:t>opiklon</w:t>
      </w:r>
      <w:proofErr w:type="spellEnd"/>
      <w:r w:rsidRPr="00A2123E">
        <w:rPr>
          <w:szCs w:val="22"/>
          <w:lang w:val="hu"/>
        </w:rPr>
        <w:t xml:space="preserve"> adagjának csökkentése, amikor ismert KIR-</w:t>
      </w:r>
      <w:proofErr w:type="spellStart"/>
      <w:r w:rsidRPr="00A2123E">
        <w:rPr>
          <w:szCs w:val="22"/>
          <w:lang w:val="hu"/>
        </w:rPr>
        <w:t>depresszáns</w:t>
      </w:r>
      <w:proofErr w:type="spellEnd"/>
      <w:r w:rsidRPr="00A2123E">
        <w:rPr>
          <w:szCs w:val="22"/>
          <w:lang w:val="hu"/>
        </w:rPr>
        <w:t xml:space="preserve"> hatású gyógyszerekkel egyidejűleg alkalmazzák</w:t>
      </w:r>
      <w:r w:rsidRPr="007B3CA8">
        <w:rPr>
          <w:color w:val="000000"/>
          <w:szCs w:val="22"/>
          <w:lang w:val="hu"/>
        </w:rPr>
        <w:t xml:space="preserve"> (lásd </w:t>
      </w:r>
      <w:r w:rsidRPr="007B3CA8">
        <w:rPr>
          <w:szCs w:val="22"/>
          <w:lang w:val="hu"/>
        </w:rPr>
        <w:t>4.5 pont).</w:t>
      </w:r>
    </w:p>
    <w:p w14:paraId="5DA3B41B" w14:textId="77777777" w:rsidR="006B24F4" w:rsidRPr="00643EF0" w:rsidRDefault="006B24F4" w:rsidP="008D4234">
      <w:pPr>
        <w:tabs>
          <w:tab w:val="clear" w:pos="567"/>
        </w:tabs>
        <w:spacing w:line="240" w:lineRule="auto"/>
        <w:rPr>
          <w:szCs w:val="22"/>
        </w:rPr>
      </w:pPr>
    </w:p>
    <w:p w14:paraId="734F30CE" w14:textId="746354E1" w:rsidR="00FD319C" w:rsidRPr="00643EF0" w:rsidRDefault="00643EF0" w:rsidP="008D4234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iCs/>
          <w:szCs w:val="22"/>
          <w:lang w:val="hu"/>
        </w:rPr>
        <w:t>Különleges betegcsoportok</w:t>
      </w:r>
    </w:p>
    <w:p w14:paraId="401031E4" w14:textId="77777777" w:rsidR="00FD319C" w:rsidRPr="006A27D8" w:rsidRDefault="00FD319C" w:rsidP="008D4234">
      <w:pPr>
        <w:tabs>
          <w:tab w:val="clear" w:pos="567"/>
        </w:tabs>
        <w:spacing w:line="240" w:lineRule="auto"/>
        <w:rPr>
          <w:i/>
          <w:szCs w:val="22"/>
        </w:rPr>
      </w:pPr>
    </w:p>
    <w:p w14:paraId="3C4B2EDA" w14:textId="4197C3DE" w:rsidR="00783911" w:rsidRPr="0082217D" w:rsidRDefault="00783911" w:rsidP="007839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  <w:szCs w:val="22"/>
        </w:rPr>
      </w:pPr>
      <w:r w:rsidRPr="0082217D">
        <w:rPr>
          <w:i/>
          <w:iCs/>
          <w:noProof/>
          <w:szCs w:val="22"/>
          <w:lang w:val="hu"/>
        </w:rPr>
        <w:t>Idősek, 65 éves vagy annál idősebbek:</w:t>
      </w:r>
    </w:p>
    <w:p w14:paraId="4679D600" w14:textId="443B3AC7" w:rsidR="00FD319C" w:rsidRPr="00643EF0" w:rsidRDefault="00FD319C" w:rsidP="008D4234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>Az ajánlott kezdő</w:t>
      </w:r>
      <w:r w:rsidR="00000D6F" w:rsidRPr="00643EF0">
        <w:rPr>
          <w:szCs w:val="22"/>
          <w:lang w:val="hu"/>
        </w:rPr>
        <w:t xml:space="preserve"> </w:t>
      </w:r>
      <w:r w:rsidRPr="00643EF0">
        <w:rPr>
          <w:szCs w:val="22"/>
          <w:lang w:val="hu"/>
        </w:rPr>
        <w:t>adag idős betegeknél 1 mg közvetlenül a lefekvés előtt. Ezeknél a betegeknél az adag klinikailag indokolt esetben 2 mg-ra emelhető.</w:t>
      </w:r>
    </w:p>
    <w:p w14:paraId="4B138BB3" w14:textId="77777777" w:rsidR="00FD319C" w:rsidRPr="00643EF0" w:rsidRDefault="00FD319C" w:rsidP="008D4234">
      <w:pPr>
        <w:tabs>
          <w:tab w:val="clear" w:pos="567"/>
        </w:tabs>
        <w:spacing w:line="240" w:lineRule="auto"/>
        <w:rPr>
          <w:szCs w:val="22"/>
        </w:rPr>
      </w:pPr>
    </w:p>
    <w:p w14:paraId="3C72D3F2" w14:textId="3E38FF59" w:rsidR="00FD319C" w:rsidRPr="00643EF0" w:rsidRDefault="00FD319C" w:rsidP="008D4234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>Az ajánlott dózist nem szabad túllépni (lásd 5.2 pont).</w:t>
      </w:r>
    </w:p>
    <w:p w14:paraId="1C39C701" w14:textId="77777777" w:rsidR="00FD319C" w:rsidRPr="00643EF0" w:rsidRDefault="00FD319C" w:rsidP="008D4234">
      <w:pPr>
        <w:tabs>
          <w:tab w:val="clear" w:pos="567"/>
        </w:tabs>
        <w:spacing w:line="240" w:lineRule="auto"/>
        <w:rPr>
          <w:szCs w:val="22"/>
        </w:rPr>
      </w:pPr>
    </w:p>
    <w:p w14:paraId="6F942DE7" w14:textId="77777777" w:rsidR="00B16EFB" w:rsidRPr="00643EF0" w:rsidRDefault="00B16EFB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</w:rPr>
      </w:pPr>
      <w:r w:rsidRPr="00643EF0">
        <w:rPr>
          <w:i/>
          <w:iCs/>
          <w:szCs w:val="22"/>
          <w:lang w:val="hu"/>
        </w:rPr>
        <w:t>Májkárosodás:</w:t>
      </w:r>
    </w:p>
    <w:p w14:paraId="22B1EE22" w14:textId="6F837D8E" w:rsidR="00FD319C" w:rsidRPr="00643EF0" w:rsidRDefault="00B16EFB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>Az enyhe</w:t>
      </w:r>
      <w:r w:rsidR="00643EF0">
        <w:rPr>
          <w:szCs w:val="22"/>
          <w:lang w:val="hu"/>
        </w:rPr>
        <w:t xml:space="preserve"> vagy </w:t>
      </w:r>
      <w:r w:rsidRPr="00643EF0">
        <w:rPr>
          <w:szCs w:val="22"/>
          <w:lang w:val="hu"/>
        </w:rPr>
        <w:t>köz</w:t>
      </w:r>
      <w:r w:rsidR="00643EF0">
        <w:rPr>
          <w:szCs w:val="22"/>
          <w:lang w:val="hu"/>
        </w:rPr>
        <w:t>e</w:t>
      </w:r>
      <w:r w:rsidRPr="00643EF0">
        <w:rPr>
          <w:szCs w:val="22"/>
          <w:lang w:val="hu"/>
        </w:rPr>
        <w:t>p</w:t>
      </w:r>
      <w:r w:rsidR="00643EF0">
        <w:rPr>
          <w:szCs w:val="22"/>
          <w:lang w:val="hu"/>
        </w:rPr>
        <w:t xml:space="preserve">esen </w:t>
      </w:r>
      <w:r w:rsidRPr="00643EF0">
        <w:rPr>
          <w:szCs w:val="22"/>
          <w:lang w:val="hu"/>
        </w:rPr>
        <w:t xml:space="preserve">súlyos májkárosodásban szenvedő betegeknél nincs szükség a dózis módosítására (lásd 5.2 pont). Súlyos májelégtelenségben szenvedő betegeknél az </w:t>
      </w:r>
      <w:proofErr w:type="spellStart"/>
      <w:r w:rsidRPr="00643EF0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43EF0">
        <w:rPr>
          <w:szCs w:val="22"/>
          <w:lang w:val="hu"/>
        </w:rPr>
        <w:t>opiklon</w:t>
      </w:r>
      <w:proofErr w:type="spellEnd"/>
      <w:r w:rsidRPr="00643EF0">
        <w:rPr>
          <w:szCs w:val="22"/>
          <w:lang w:val="hu"/>
        </w:rPr>
        <w:t xml:space="preserve"> ellenjavallt, ugyanis </w:t>
      </w:r>
      <w:proofErr w:type="spellStart"/>
      <w:r w:rsidRPr="00643EF0">
        <w:rPr>
          <w:szCs w:val="22"/>
          <w:lang w:val="hu"/>
        </w:rPr>
        <w:t>encephalopathiát</w:t>
      </w:r>
      <w:proofErr w:type="spellEnd"/>
      <w:r w:rsidRPr="00643EF0">
        <w:rPr>
          <w:szCs w:val="22"/>
          <w:lang w:val="hu"/>
        </w:rPr>
        <w:t xml:space="preserve"> válthat ki (lásd 4.3 és 5.2 pont).</w:t>
      </w:r>
    </w:p>
    <w:p w14:paraId="1F094188" w14:textId="77777777" w:rsidR="00B16EFB" w:rsidRPr="006A27D8" w:rsidRDefault="00B16EFB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153E3EE" w14:textId="77777777" w:rsidR="009F189A" w:rsidRPr="00643EF0" w:rsidRDefault="009F189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</w:rPr>
      </w:pPr>
      <w:r w:rsidRPr="00643EF0">
        <w:rPr>
          <w:i/>
          <w:iCs/>
          <w:szCs w:val="22"/>
          <w:lang w:val="hu"/>
        </w:rPr>
        <w:t>Vesekárosodás:</w:t>
      </w:r>
    </w:p>
    <w:p w14:paraId="7BD063E2" w14:textId="5F9C0F05" w:rsidR="00DA7A8E" w:rsidRPr="00643EF0" w:rsidRDefault="009F189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>Enyhe</w:t>
      </w:r>
      <w:r w:rsidR="00643EF0">
        <w:rPr>
          <w:szCs w:val="22"/>
          <w:lang w:val="hu"/>
        </w:rPr>
        <w:t xml:space="preserve"> vagy </w:t>
      </w:r>
      <w:r w:rsidRPr="00643EF0">
        <w:rPr>
          <w:szCs w:val="22"/>
          <w:lang w:val="hu"/>
        </w:rPr>
        <w:t>köz</w:t>
      </w:r>
      <w:r w:rsidR="00643EF0">
        <w:rPr>
          <w:szCs w:val="22"/>
          <w:lang w:val="hu"/>
        </w:rPr>
        <w:t>e</w:t>
      </w:r>
      <w:r w:rsidRPr="00643EF0">
        <w:rPr>
          <w:szCs w:val="22"/>
          <w:lang w:val="hu"/>
        </w:rPr>
        <w:t>p</w:t>
      </w:r>
      <w:r w:rsidR="00643EF0">
        <w:rPr>
          <w:szCs w:val="22"/>
          <w:lang w:val="hu"/>
        </w:rPr>
        <w:t xml:space="preserve">esen </w:t>
      </w:r>
      <w:r w:rsidRPr="00643EF0">
        <w:rPr>
          <w:szCs w:val="22"/>
          <w:lang w:val="hu"/>
        </w:rPr>
        <w:t xml:space="preserve">súlyos vesekárosodásban szenvedő betegeknél nincs szükség a dózis módosítására (lásd 5.2 pont). </w:t>
      </w:r>
    </w:p>
    <w:p w14:paraId="5A4F7F88" w14:textId="77777777" w:rsidR="00DA7A8E" w:rsidRPr="006A27D8" w:rsidRDefault="00DA7A8E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A5BFB4D" w14:textId="22749DFC" w:rsidR="009F189A" w:rsidRPr="00643EF0" w:rsidRDefault="004E2106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Pr="00643EF0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43EF0">
        <w:rPr>
          <w:szCs w:val="22"/>
          <w:lang w:val="hu"/>
        </w:rPr>
        <w:t>opiklon</w:t>
      </w:r>
      <w:proofErr w:type="spellEnd"/>
      <w:r w:rsidRPr="00643EF0">
        <w:rPr>
          <w:szCs w:val="22"/>
          <w:lang w:val="hu"/>
        </w:rPr>
        <w:t xml:space="preserve"> maximális ajánlott adagja súlyos vesekárosodásban szenvedő betegeknél 2 mg.</w:t>
      </w:r>
    </w:p>
    <w:p w14:paraId="62363830" w14:textId="77777777" w:rsidR="006C6238" w:rsidRPr="00643EF0" w:rsidRDefault="006C6238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1B5C95C" w14:textId="5147D052" w:rsidR="00A049FF" w:rsidRPr="00643EF0" w:rsidRDefault="00F22F77" w:rsidP="00A049FF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643EF0">
        <w:rPr>
          <w:i/>
          <w:iCs/>
          <w:szCs w:val="22"/>
          <w:lang w:val="hu"/>
        </w:rPr>
        <w:t xml:space="preserve">Gyermekek és serdülők: </w:t>
      </w:r>
    </w:p>
    <w:p w14:paraId="2C66275E" w14:textId="6EDD8783" w:rsidR="00F22F77" w:rsidRPr="00643EF0" w:rsidRDefault="00A049FF" w:rsidP="00A049FF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82217D">
        <w:rPr>
          <w:color w:val="000000"/>
          <w:szCs w:val="22"/>
          <w:lang w:val="hu"/>
        </w:rPr>
        <w:t xml:space="preserve">Az </w:t>
      </w:r>
      <w:proofErr w:type="spellStart"/>
      <w:r w:rsidRPr="0082217D">
        <w:rPr>
          <w:color w:val="000000"/>
          <w:szCs w:val="22"/>
          <w:lang w:val="hu"/>
        </w:rPr>
        <w:t>esz</w:t>
      </w:r>
      <w:r w:rsidR="007040EF">
        <w:rPr>
          <w:color w:val="000000"/>
          <w:szCs w:val="22"/>
          <w:lang w:val="hu"/>
        </w:rPr>
        <w:t>z</w:t>
      </w:r>
      <w:r w:rsidRPr="0082217D">
        <w:rPr>
          <w:color w:val="000000"/>
          <w:szCs w:val="22"/>
          <w:lang w:val="hu"/>
        </w:rPr>
        <w:t>opiklon</w:t>
      </w:r>
      <w:proofErr w:type="spellEnd"/>
      <w:r w:rsidRPr="0082217D">
        <w:rPr>
          <w:color w:val="000000"/>
          <w:szCs w:val="22"/>
          <w:lang w:val="hu"/>
        </w:rPr>
        <w:t xml:space="preserve"> 18 évnél fiatalabb gyermekeknél és serdülőknél nem alkalmazható (lásd 4.3 pont).</w:t>
      </w:r>
    </w:p>
    <w:p w14:paraId="660102B5" w14:textId="43A4AAEB" w:rsidR="00F22F77" w:rsidRPr="00643EF0" w:rsidRDefault="00F22F77" w:rsidP="00F22F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Pr="00643EF0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43EF0">
        <w:rPr>
          <w:szCs w:val="22"/>
          <w:lang w:val="hu"/>
        </w:rPr>
        <w:t>opiklon</w:t>
      </w:r>
      <w:proofErr w:type="spellEnd"/>
      <w:r w:rsidRPr="00643EF0">
        <w:rPr>
          <w:szCs w:val="22"/>
          <w:lang w:val="hu"/>
        </w:rPr>
        <w:t xml:space="preserve"> biztonságosságát és hatásosságát gyermekek és serdülők esetében nem igazolták.</w:t>
      </w:r>
    </w:p>
    <w:p w14:paraId="404481F2" w14:textId="21337A7D" w:rsidR="00F22F77" w:rsidRPr="00643EF0" w:rsidRDefault="00F22F77" w:rsidP="00F22F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EEECDC6" w14:textId="73D74F10" w:rsidR="006C6238" w:rsidRPr="00643EF0" w:rsidRDefault="006C6238" w:rsidP="00F22F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>Az alkalmazás módja</w:t>
      </w:r>
    </w:p>
    <w:p w14:paraId="6A5BFE00" w14:textId="0619D721" w:rsidR="006C6238" w:rsidRPr="00643EF0" w:rsidRDefault="000B073A" w:rsidP="006C6238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Pr="00643EF0">
        <w:rPr>
          <w:szCs w:val="22"/>
          <w:lang w:val="hu"/>
        </w:rPr>
        <w:t>Esogno</w:t>
      </w:r>
      <w:proofErr w:type="spellEnd"/>
      <w:r w:rsidRPr="00643EF0">
        <w:rPr>
          <w:szCs w:val="22"/>
          <w:lang w:val="hu"/>
        </w:rPr>
        <w:t xml:space="preserve"> szájon át alkalmazandó. </w:t>
      </w:r>
    </w:p>
    <w:p w14:paraId="26011FFC" w14:textId="534964F9" w:rsidR="006C6238" w:rsidRPr="006A27D8" w:rsidRDefault="006C6238" w:rsidP="00F36B18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 </w:t>
      </w:r>
      <w:r w:rsidR="006A27D8">
        <w:rPr>
          <w:szCs w:val="22"/>
          <w:lang w:val="hu"/>
        </w:rPr>
        <w:t>film</w:t>
      </w:r>
      <w:r w:rsidRPr="006A27D8">
        <w:rPr>
          <w:szCs w:val="22"/>
          <w:lang w:val="hu"/>
        </w:rPr>
        <w:t>tablettákat nem szabad összezúzni vagy eltörni bevétel előtt, ugyanis a hatóanyag keserű ízű.</w:t>
      </w:r>
    </w:p>
    <w:p w14:paraId="0FBD0F8B" w14:textId="77777777" w:rsidR="009F189A" w:rsidRPr="006A27D8" w:rsidRDefault="009F189A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3049C14" w14:textId="77777777" w:rsidR="001D29E6" w:rsidRPr="0082217D" w:rsidRDefault="001D29E6" w:rsidP="000244A6">
      <w:pPr>
        <w:pStyle w:val="Cmsor2"/>
        <w:rPr>
          <w:szCs w:val="22"/>
        </w:rPr>
      </w:pPr>
      <w:r w:rsidRPr="0082217D">
        <w:rPr>
          <w:bCs/>
          <w:szCs w:val="22"/>
          <w:lang w:val="hu"/>
        </w:rPr>
        <w:t>4.3</w:t>
      </w:r>
      <w:r w:rsidRPr="0082217D">
        <w:rPr>
          <w:bCs/>
          <w:szCs w:val="22"/>
          <w:lang w:val="hu"/>
        </w:rPr>
        <w:tab/>
        <w:t>Ellenjavallatok</w:t>
      </w:r>
    </w:p>
    <w:p w14:paraId="32E45F0B" w14:textId="3D429F1F" w:rsidR="001D29E6" w:rsidRPr="00A2123E" w:rsidRDefault="001D29E6" w:rsidP="008D4234">
      <w:pPr>
        <w:spacing w:line="240" w:lineRule="auto"/>
        <w:rPr>
          <w:szCs w:val="22"/>
        </w:rPr>
      </w:pPr>
    </w:p>
    <w:p w14:paraId="7E1EF02D" w14:textId="77777777" w:rsidR="001D29E6" w:rsidRPr="00643EF0" w:rsidRDefault="001D29E6" w:rsidP="00F01A6D">
      <w:pPr>
        <w:pStyle w:val="Listaszerbekezds"/>
        <w:numPr>
          <w:ilvl w:val="0"/>
          <w:numId w:val="40"/>
        </w:numPr>
        <w:spacing w:line="240" w:lineRule="auto"/>
        <w:ind w:left="560" w:hanging="560"/>
        <w:rPr>
          <w:noProof/>
          <w:szCs w:val="22"/>
        </w:rPr>
      </w:pPr>
      <w:r w:rsidRPr="007B3CA8">
        <w:rPr>
          <w:szCs w:val="22"/>
          <w:lang w:val="hu"/>
        </w:rPr>
        <w:t xml:space="preserve">A készítmény hatóanyagával, a </w:t>
      </w:r>
      <w:proofErr w:type="spellStart"/>
      <w:r w:rsidRPr="007B3CA8">
        <w:rPr>
          <w:szCs w:val="22"/>
          <w:lang w:val="hu"/>
        </w:rPr>
        <w:t>zopiklonnal</w:t>
      </w:r>
      <w:proofErr w:type="spellEnd"/>
      <w:r w:rsidRPr="007B3CA8">
        <w:rPr>
          <w:szCs w:val="22"/>
          <w:lang w:val="hu"/>
        </w:rPr>
        <w:t xml:space="preserve"> vagy a </w:t>
      </w:r>
      <w:r w:rsidRPr="00643EF0">
        <w:rPr>
          <w:noProof/>
          <w:szCs w:val="22"/>
          <w:lang w:val="hu"/>
        </w:rPr>
        <w:t>6.1 pontban felsorolt</w:t>
      </w:r>
      <w:r w:rsidRPr="0082217D">
        <w:rPr>
          <w:szCs w:val="22"/>
          <w:lang w:val="hu"/>
        </w:rPr>
        <w:t xml:space="preserve"> bármely segédanyagával szembeni túlérzékenység.</w:t>
      </w:r>
    </w:p>
    <w:p w14:paraId="03F0DD9F" w14:textId="24D527FC" w:rsidR="00093AEE" w:rsidRPr="006A27D8" w:rsidRDefault="00093AEE" w:rsidP="008D4234">
      <w:pPr>
        <w:pStyle w:val="Listaszerbekezds"/>
        <w:numPr>
          <w:ilvl w:val="0"/>
          <w:numId w:val="40"/>
        </w:numPr>
        <w:spacing w:line="240" w:lineRule="auto"/>
        <w:ind w:left="0" w:firstLine="0"/>
        <w:rPr>
          <w:noProof/>
          <w:szCs w:val="22"/>
        </w:rPr>
      </w:pPr>
      <w:r w:rsidRPr="00643EF0">
        <w:rPr>
          <w:noProof/>
          <w:szCs w:val="22"/>
          <w:lang w:val="hu"/>
        </w:rPr>
        <w:t>Myasthenia gravis</w:t>
      </w:r>
      <w:r w:rsidR="006A27D8">
        <w:rPr>
          <w:noProof/>
          <w:szCs w:val="22"/>
          <w:lang w:val="hu"/>
        </w:rPr>
        <w:t>.</w:t>
      </w:r>
    </w:p>
    <w:p w14:paraId="4A72C632" w14:textId="6F5BC3AB" w:rsidR="00093AEE" w:rsidRPr="006A27D8" w:rsidRDefault="00093AEE" w:rsidP="008D4234">
      <w:pPr>
        <w:pStyle w:val="Listaszerbekezds"/>
        <w:numPr>
          <w:ilvl w:val="0"/>
          <w:numId w:val="40"/>
        </w:numPr>
        <w:spacing w:line="240" w:lineRule="auto"/>
        <w:ind w:left="0" w:firstLine="0"/>
        <w:rPr>
          <w:noProof/>
          <w:szCs w:val="22"/>
        </w:rPr>
      </w:pPr>
      <w:r w:rsidRPr="006A27D8">
        <w:rPr>
          <w:noProof/>
          <w:szCs w:val="22"/>
          <w:lang w:val="hu"/>
        </w:rPr>
        <w:t>Súlyos légzési elégtelenség</w:t>
      </w:r>
      <w:r w:rsidR="006A27D8">
        <w:rPr>
          <w:noProof/>
          <w:szCs w:val="22"/>
          <w:lang w:val="hu"/>
        </w:rPr>
        <w:t>.</w:t>
      </w:r>
    </w:p>
    <w:p w14:paraId="302A572A" w14:textId="0CEC4FE7" w:rsidR="004640E0" w:rsidRPr="006A27D8" w:rsidRDefault="00093AEE" w:rsidP="008D4234">
      <w:pPr>
        <w:pStyle w:val="Listaszerbekezds"/>
        <w:numPr>
          <w:ilvl w:val="0"/>
          <w:numId w:val="40"/>
        </w:numPr>
        <w:spacing w:line="240" w:lineRule="auto"/>
        <w:ind w:left="0" w:firstLine="0"/>
        <w:rPr>
          <w:noProof/>
          <w:szCs w:val="22"/>
        </w:rPr>
      </w:pPr>
      <w:r w:rsidRPr="006A27D8">
        <w:rPr>
          <w:noProof/>
          <w:szCs w:val="22"/>
          <w:lang w:val="hu"/>
        </w:rPr>
        <w:t>Súlyos alvási apnoe szindróma</w:t>
      </w:r>
      <w:r w:rsidR="006A27D8">
        <w:rPr>
          <w:noProof/>
          <w:szCs w:val="22"/>
          <w:lang w:val="hu"/>
        </w:rPr>
        <w:t>.</w:t>
      </w:r>
    </w:p>
    <w:p w14:paraId="0BE29ED2" w14:textId="5F6F7182" w:rsidR="00814509" w:rsidRPr="006A27D8" w:rsidRDefault="00E23968" w:rsidP="008D4234">
      <w:pPr>
        <w:pStyle w:val="Listaszerbekezds"/>
        <w:numPr>
          <w:ilvl w:val="0"/>
          <w:numId w:val="40"/>
        </w:numPr>
        <w:spacing w:line="240" w:lineRule="auto"/>
        <w:ind w:left="0" w:firstLine="0"/>
        <w:rPr>
          <w:noProof/>
          <w:szCs w:val="22"/>
        </w:rPr>
      </w:pPr>
      <w:r w:rsidRPr="006A27D8">
        <w:rPr>
          <w:noProof/>
          <w:szCs w:val="22"/>
          <w:lang w:val="hu"/>
        </w:rPr>
        <w:t>Súlyos májelégtelenség</w:t>
      </w:r>
      <w:r w:rsidR="006A27D8">
        <w:rPr>
          <w:noProof/>
          <w:szCs w:val="22"/>
          <w:lang w:val="hu"/>
        </w:rPr>
        <w:t>.</w:t>
      </w:r>
    </w:p>
    <w:p w14:paraId="416FF99F" w14:textId="432AA477" w:rsidR="004640E0" w:rsidRPr="006A27D8" w:rsidRDefault="004640E0" w:rsidP="00C40C6B">
      <w:pPr>
        <w:pStyle w:val="Listaszerbekezds"/>
        <w:numPr>
          <w:ilvl w:val="0"/>
          <w:numId w:val="40"/>
        </w:numPr>
        <w:spacing w:line="240" w:lineRule="auto"/>
        <w:ind w:left="567" w:hanging="567"/>
        <w:rPr>
          <w:noProof/>
          <w:szCs w:val="22"/>
        </w:rPr>
      </w:pPr>
      <w:r w:rsidRPr="006A27D8">
        <w:rPr>
          <w:noProof/>
          <w:szCs w:val="22"/>
          <w:lang w:val="hu"/>
        </w:rPr>
        <w:t>Egyidejűleg potens CYP3A4-gátlókat is alkalmazó idős betegek (lásd 4.5 pont)</w:t>
      </w:r>
      <w:r w:rsidR="006A27D8">
        <w:rPr>
          <w:noProof/>
          <w:szCs w:val="22"/>
          <w:lang w:val="hu"/>
        </w:rPr>
        <w:t>.</w:t>
      </w:r>
    </w:p>
    <w:p w14:paraId="18AFACC5" w14:textId="59A7DA16" w:rsidR="00F451F6" w:rsidRPr="006A27D8" w:rsidRDefault="00F451F6" w:rsidP="008D4234">
      <w:pPr>
        <w:pStyle w:val="Listaszerbekezds"/>
        <w:numPr>
          <w:ilvl w:val="0"/>
          <w:numId w:val="40"/>
        </w:numPr>
        <w:spacing w:line="240" w:lineRule="auto"/>
        <w:ind w:left="0" w:firstLine="0"/>
        <w:rPr>
          <w:noProof/>
          <w:szCs w:val="22"/>
        </w:rPr>
      </w:pPr>
      <w:r w:rsidRPr="006A27D8">
        <w:rPr>
          <w:noProof/>
          <w:szCs w:val="22"/>
          <w:lang w:val="hu"/>
        </w:rPr>
        <w:t>Gyermekek és 18 év alatti serdülők.</w:t>
      </w:r>
    </w:p>
    <w:p w14:paraId="3B828404" w14:textId="77777777" w:rsidR="001D29E6" w:rsidRPr="0082217D" w:rsidRDefault="001D29E6" w:rsidP="008D4234">
      <w:pPr>
        <w:spacing w:line="240" w:lineRule="auto"/>
        <w:rPr>
          <w:szCs w:val="22"/>
        </w:rPr>
      </w:pPr>
    </w:p>
    <w:p w14:paraId="190F5982" w14:textId="77777777" w:rsidR="001D29E6" w:rsidRPr="00A2123E" w:rsidRDefault="001D29E6" w:rsidP="000244A6">
      <w:pPr>
        <w:pStyle w:val="Cmsor2"/>
        <w:rPr>
          <w:szCs w:val="22"/>
        </w:rPr>
      </w:pPr>
      <w:r w:rsidRPr="00A2123E">
        <w:rPr>
          <w:bCs/>
          <w:szCs w:val="22"/>
          <w:lang w:val="hu"/>
        </w:rPr>
        <w:t>4.4</w:t>
      </w:r>
      <w:r w:rsidRPr="00A2123E">
        <w:rPr>
          <w:bCs/>
          <w:szCs w:val="22"/>
          <w:lang w:val="hu"/>
        </w:rPr>
        <w:tab/>
        <w:t>Különleges figyelmeztetések és az alkalmazással kapcsolatos óvintézkedések</w:t>
      </w:r>
    </w:p>
    <w:p w14:paraId="76DA79F8" w14:textId="77777777" w:rsidR="007D317B" w:rsidRPr="007B3CA8" w:rsidRDefault="007D317B" w:rsidP="000244A6">
      <w:pPr>
        <w:rPr>
          <w:szCs w:val="22"/>
        </w:rPr>
      </w:pPr>
    </w:p>
    <w:p w14:paraId="1257E685" w14:textId="77777777" w:rsidR="00AD4E7C" w:rsidRPr="00D24220" w:rsidRDefault="00AD4E7C" w:rsidP="000244A6">
      <w:pPr>
        <w:rPr>
          <w:i/>
          <w:szCs w:val="22"/>
        </w:rPr>
      </w:pPr>
      <w:r w:rsidRPr="00D24220">
        <w:rPr>
          <w:i/>
          <w:iCs/>
          <w:szCs w:val="22"/>
          <w:lang w:val="hu"/>
        </w:rPr>
        <w:t>Általános</w:t>
      </w:r>
    </w:p>
    <w:p w14:paraId="0D548718" w14:textId="3AFB8BE7" w:rsidR="00AD4E7C" w:rsidRPr="00643EF0" w:rsidRDefault="00AD4E7C" w:rsidP="00AD4E7C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lastRenderedPageBreak/>
        <w:t xml:space="preserve">Amikor csak lehet, meg kell határozni az álmatlanság okát. Kezelni kell a háttérben megbúvó okokat, mielőtt altatót írnának fel a betegnek. Amennyiben az álmatlanság 7-14 napos kezelés után sem enyhül, az arra utalhat, hogy elsődleges pszichiátriai vagy fizikális rendellenesség áll fenn és </w:t>
      </w:r>
      <w:r w:rsidRPr="00643EF0">
        <w:rPr>
          <w:szCs w:val="22"/>
          <w:lang w:val="hu"/>
        </w:rPr>
        <w:t>a beteget rendszeres időközönként alaposan újra meg kell vizsgálni.</w:t>
      </w:r>
    </w:p>
    <w:p w14:paraId="7E8CF5BE" w14:textId="77777777" w:rsidR="00AD4E7C" w:rsidRPr="0082217D" w:rsidRDefault="00AD4E7C" w:rsidP="008D4234">
      <w:pPr>
        <w:tabs>
          <w:tab w:val="clear" w:pos="567"/>
          <w:tab w:val="left" w:pos="28"/>
        </w:tabs>
        <w:spacing w:line="240" w:lineRule="auto"/>
        <w:rPr>
          <w:szCs w:val="22"/>
        </w:rPr>
      </w:pPr>
    </w:p>
    <w:p w14:paraId="68F526CD" w14:textId="5327A06B" w:rsidR="00AD4E7C" w:rsidRPr="00A2123E" w:rsidRDefault="00636483" w:rsidP="000244A6">
      <w:pPr>
        <w:rPr>
          <w:i/>
          <w:szCs w:val="22"/>
        </w:rPr>
      </w:pPr>
      <w:r w:rsidRPr="00A2123E">
        <w:rPr>
          <w:i/>
          <w:iCs/>
          <w:szCs w:val="22"/>
          <w:lang w:val="hu"/>
        </w:rPr>
        <w:t>Krónikus légzéskárosodás</w:t>
      </w:r>
    </w:p>
    <w:p w14:paraId="0BBAE1B7" w14:textId="1F3DDCCE" w:rsidR="00AD4E7C" w:rsidRPr="007B3CA8" w:rsidRDefault="00AD4E7C" w:rsidP="00AD4E7C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r w:rsidRPr="007B3CA8">
        <w:rPr>
          <w:szCs w:val="22"/>
          <w:lang w:val="hu"/>
        </w:rPr>
        <w:t xml:space="preserve">Elővigyázatosság szükséges akkor, amikor légzési elégtelenséggel érintett betegnek rendelnek </w:t>
      </w:r>
      <w:proofErr w:type="spellStart"/>
      <w:r w:rsidRPr="007B3CA8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7B3CA8">
        <w:rPr>
          <w:szCs w:val="22"/>
          <w:lang w:val="hu"/>
        </w:rPr>
        <w:t>opiklont</w:t>
      </w:r>
      <w:proofErr w:type="spellEnd"/>
      <w:r w:rsidRPr="007B3CA8">
        <w:rPr>
          <w:szCs w:val="22"/>
          <w:lang w:val="hu"/>
        </w:rPr>
        <w:t xml:space="preserve">, ugyanis a </w:t>
      </w:r>
      <w:proofErr w:type="spellStart"/>
      <w:r w:rsidRPr="007B3CA8">
        <w:rPr>
          <w:szCs w:val="22"/>
          <w:lang w:val="hu"/>
        </w:rPr>
        <w:t>benzodiazepinek</w:t>
      </w:r>
      <w:proofErr w:type="spellEnd"/>
      <w:r w:rsidRPr="007B3CA8">
        <w:rPr>
          <w:szCs w:val="22"/>
          <w:lang w:val="hu"/>
        </w:rPr>
        <w:t xml:space="preserve"> és a </w:t>
      </w:r>
      <w:proofErr w:type="spellStart"/>
      <w:r w:rsidRPr="007B3CA8">
        <w:rPr>
          <w:szCs w:val="22"/>
          <w:lang w:val="hu"/>
        </w:rPr>
        <w:t>benzodiazepin</w:t>
      </w:r>
      <w:r w:rsidR="00863D86">
        <w:rPr>
          <w:szCs w:val="22"/>
          <w:lang w:val="hu"/>
        </w:rPr>
        <w:t>nel</w:t>
      </w:r>
      <w:proofErr w:type="spellEnd"/>
      <w:r w:rsidR="00863D86">
        <w:rPr>
          <w:szCs w:val="22"/>
          <w:lang w:val="hu"/>
        </w:rPr>
        <w:t xml:space="preserve"> rokon</w:t>
      </w:r>
      <w:r w:rsidRPr="007B3CA8">
        <w:rPr>
          <w:szCs w:val="22"/>
          <w:lang w:val="hu"/>
        </w:rPr>
        <w:t xml:space="preserve"> hatóanyagok igazoltan károsítják a légzés vezérlését.</w:t>
      </w:r>
    </w:p>
    <w:p w14:paraId="5DF0B848" w14:textId="77777777" w:rsidR="007D317B" w:rsidRPr="00D24220" w:rsidRDefault="007D317B" w:rsidP="00AD4E7C">
      <w:pPr>
        <w:tabs>
          <w:tab w:val="clear" w:pos="567"/>
          <w:tab w:val="left" w:pos="28"/>
        </w:tabs>
        <w:spacing w:line="240" w:lineRule="auto"/>
        <w:rPr>
          <w:szCs w:val="22"/>
        </w:rPr>
      </w:pPr>
    </w:p>
    <w:p w14:paraId="231029CB" w14:textId="4AF271A0" w:rsidR="0082217D" w:rsidRPr="00770FF1" w:rsidRDefault="00A2123E" w:rsidP="0082217D">
      <w:pPr>
        <w:widowControl w:val="0"/>
        <w:autoSpaceDE w:val="0"/>
        <w:autoSpaceDN w:val="0"/>
        <w:rPr>
          <w:i/>
          <w:iCs/>
          <w:snapToGrid w:val="0"/>
          <w:szCs w:val="22"/>
          <w:lang w:eastAsia="hu-HU"/>
        </w:rPr>
      </w:pPr>
      <w:proofErr w:type="spellStart"/>
      <w:r>
        <w:rPr>
          <w:i/>
          <w:iCs/>
          <w:snapToGrid w:val="0"/>
          <w:szCs w:val="22"/>
          <w:lang w:eastAsia="hu-HU"/>
        </w:rPr>
        <w:t>O</w:t>
      </w:r>
      <w:r w:rsidR="0082217D" w:rsidRPr="00770FF1">
        <w:rPr>
          <w:i/>
          <w:iCs/>
          <w:snapToGrid w:val="0"/>
          <w:szCs w:val="22"/>
          <w:lang w:eastAsia="hu-HU"/>
        </w:rPr>
        <w:t>pioidok</w:t>
      </w:r>
      <w:proofErr w:type="spellEnd"/>
      <w:r w:rsidR="0082217D" w:rsidRPr="00770FF1">
        <w:rPr>
          <w:i/>
          <w:iCs/>
          <w:snapToGrid w:val="0"/>
          <w:szCs w:val="22"/>
          <w:lang w:eastAsia="hu-HU"/>
        </w:rPr>
        <w:t xml:space="preserve"> </w:t>
      </w:r>
      <w:proofErr w:type="spellStart"/>
      <w:r w:rsidR="0082217D" w:rsidRPr="00770FF1">
        <w:rPr>
          <w:i/>
          <w:iCs/>
          <w:snapToGrid w:val="0"/>
          <w:szCs w:val="22"/>
          <w:lang w:eastAsia="hu-HU"/>
        </w:rPr>
        <w:t>együttes</w:t>
      </w:r>
      <w:proofErr w:type="spellEnd"/>
      <w:r w:rsidR="0082217D" w:rsidRPr="00770FF1">
        <w:rPr>
          <w:i/>
          <w:iCs/>
          <w:snapToGrid w:val="0"/>
          <w:szCs w:val="22"/>
          <w:lang w:eastAsia="hu-HU"/>
        </w:rPr>
        <w:t xml:space="preserve"> </w:t>
      </w:r>
      <w:proofErr w:type="spellStart"/>
      <w:r w:rsidR="0082217D" w:rsidRPr="00770FF1">
        <w:rPr>
          <w:i/>
          <w:iCs/>
          <w:snapToGrid w:val="0"/>
          <w:szCs w:val="22"/>
          <w:lang w:eastAsia="hu-HU"/>
        </w:rPr>
        <w:t>alkalmazásának</w:t>
      </w:r>
      <w:proofErr w:type="spellEnd"/>
      <w:r w:rsidR="0082217D" w:rsidRPr="00770FF1">
        <w:rPr>
          <w:i/>
          <w:iCs/>
          <w:snapToGrid w:val="0"/>
          <w:szCs w:val="22"/>
          <w:lang w:eastAsia="hu-HU"/>
        </w:rPr>
        <w:t xml:space="preserve"> </w:t>
      </w:r>
      <w:proofErr w:type="spellStart"/>
      <w:r w:rsidR="0082217D" w:rsidRPr="00770FF1">
        <w:rPr>
          <w:i/>
          <w:iCs/>
          <w:snapToGrid w:val="0"/>
          <w:szCs w:val="22"/>
          <w:lang w:eastAsia="hu-HU"/>
        </w:rPr>
        <w:t>kockázata</w:t>
      </w:r>
      <w:proofErr w:type="spellEnd"/>
      <w:r w:rsidR="0082217D" w:rsidRPr="00770FF1">
        <w:rPr>
          <w:i/>
          <w:iCs/>
          <w:snapToGrid w:val="0"/>
          <w:szCs w:val="22"/>
          <w:lang w:eastAsia="hu-HU"/>
        </w:rPr>
        <w:t>:</w:t>
      </w:r>
    </w:p>
    <w:p w14:paraId="3E201CCC" w14:textId="48CD3247" w:rsidR="0082217D" w:rsidRPr="00B43731" w:rsidRDefault="0082217D" w:rsidP="0082217D">
      <w:pPr>
        <w:rPr>
          <w:szCs w:val="22"/>
        </w:rPr>
      </w:pPr>
      <w:r w:rsidRPr="00B43731">
        <w:rPr>
          <w:iCs/>
          <w:snapToGrid w:val="0"/>
          <w:szCs w:val="22"/>
          <w:lang w:eastAsia="hu-HU"/>
        </w:rPr>
        <w:t xml:space="preserve">Az </w:t>
      </w:r>
      <w:proofErr w:type="spellStart"/>
      <w:r>
        <w:rPr>
          <w:iCs/>
          <w:snapToGrid w:val="0"/>
          <w:szCs w:val="22"/>
          <w:lang w:eastAsia="hu-HU"/>
        </w:rPr>
        <w:t>es</w:t>
      </w:r>
      <w:r w:rsidR="007040EF">
        <w:rPr>
          <w:iCs/>
          <w:snapToGrid w:val="0"/>
          <w:szCs w:val="22"/>
          <w:lang w:eastAsia="hu-HU"/>
        </w:rPr>
        <w:t>z</w:t>
      </w:r>
      <w:r>
        <w:rPr>
          <w:iCs/>
          <w:snapToGrid w:val="0"/>
          <w:szCs w:val="22"/>
          <w:lang w:eastAsia="hu-HU"/>
        </w:rPr>
        <w:t>zopiklon</w:t>
      </w:r>
      <w:proofErr w:type="spellEnd"/>
      <w:r w:rsidRPr="00B43731">
        <w:rPr>
          <w:iCs/>
          <w:snapToGrid w:val="0"/>
          <w:szCs w:val="22"/>
          <w:lang w:eastAsia="hu-HU"/>
        </w:rPr>
        <w:t xml:space="preserve"> </w:t>
      </w:r>
      <w:proofErr w:type="spellStart"/>
      <w:r w:rsidRPr="00B43731">
        <w:rPr>
          <w:iCs/>
          <w:snapToGrid w:val="0"/>
          <w:szCs w:val="22"/>
          <w:lang w:eastAsia="hu-HU"/>
        </w:rPr>
        <w:t>és</w:t>
      </w:r>
      <w:proofErr w:type="spellEnd"/>
      <w:r w:rsidRPr="00B43731">
        <w:rPr>
          <w:iCs/>
          <w:snapToGrid w:val="0"/>
          <w:szCs w:val="22"/>
          <w:lang w:eastAsia="hu-HU"/>
        </w:rPr>
        <w:t xml:space="preserve"> </w:t>
      </w:r>
      <w:proofErr w:type="spellStart"/>
      <w:r w:rsidRPr="00B43731">
        <w:rPr>
          <w:iCs/>
          <w:snapToGrid w:val="0"/>
          <w:szCs w:val="22"/>
          <w:lang w:eastAsia="hu-HU"/>
        </w:rPr>
        <w:t>opioidok</w:t>
      </w:r>
      <w:proofErr w:type="spellEnd"/>
      <w:r w:rsidRPr="00B43731">
        <w:rPr>
          <w:iCs/>
          <w:snapToGrid w:val="0"/>
          <w:szCs w:val="22"/>
          <w:lang w:eastAsia="hu-HU"/>
        </w:rPr>
        <w:t xml:space="preserve"> </w:t>
      </w:r>
      <w:proofErr w:type="spellStart"/>
      <w:r w:rsidRPr="00B43731">
        <w:rPr>
          <w:iCs/>
          <w:snapToGrid w:val="0"/>
          <w:szCs w:val="22"/>
          <w:lang w:eastAsia="hu-HU"/>
        </w:rPr>
        <w:t>együttes</w:t>
      </w:r>
      <w:proofErr w:type="spellEnd"/>
      <w:r w:rsidRPr="00B43731">
        <w:rPr>
          <w:iCs/>
          <w:snapToGrid w:val="0"/>
          <w:szCs w:val="22"/>
          <w:lang w:eastAsia="hu-HU"/>
        </w:rPr>
        <w:t xml:space="preserve"> </w:t>
      </w:r>
      <w:proofErr w:type="spellStart"/>
      <w:r w:rsidRPr="00B43731">
        <w:rPr>
          <w:iCs/>
          <w:snapToGrid w:val="0"/>
          <w:szCs w:val="22"/>
          <w:lang w:eastAsia="hu-HU"/>
        </w:rPr>
        <w:t>alkalmazása</w:t>
      </w:r>
      <w:proofErr w:type="spellEnd"/>
      <w:r w:rsidRPr="00B43731">
        <w:rPr>
          <w:iCs/>
          <w:snapToGrid w:val="0"/>
          <w:szCs w:val="22"/>
          <w:lang w:eastAsia="hu-HU"/>
        </w:rPr>
        <w:t xml:space="preserve"> </w:t>
      </w:r>
      <w:proofErr w:type="spellStart"/>
      <w:r w:rsidRPr="00B43731">
        <w:rPr>
          <w:szCs w:val="22"/>
        </w:rPr>
        <w:t>szedációhoz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légzésdepresszióhoz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kómához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és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halálhoz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vezethet</w:t>
      </w:r>
      <w:proofErr w:type="spellEnd"/>
      <w:r w:rsidRPr="00B43731">
        <w:rPr>
          <w:szCs w:val="22"/>
        </w:rPr>
        <w:t xml:space="preserve">. </w:t>
      </w:r>
      <w:proofErr w:type="spellStart"/>
      <w:r w:rsidRPr="00B43731">
        <w:rPr>
          <w:szCs w:val="22"/>
        </w:rPr>
        <w:t>Ezen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kockázatok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miatt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szedatív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gyógyszerek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például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benzodiazepinek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vagy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benzodiazepinekkel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rokon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gyógyszerek</w:t>
      </w:r>
      <w:proofErr w:type="spellEnd"/>
      <w:r w:rsidRPr="00B43731">
        <w:rPr>
          <w:szCs w:val="22"/>
        </w:rPr>
        <w:t xml:space="preserve">, mint </w:t>
      </w:r>
      <w:proofErr w:type="spellStart"/>
      <w:r w:rsidRPr="00B43731">
        <w:rPr>
          <w:szCs w:val="22"/>
        </w:rPr>
        <w:t>az</w:t>
      </w:r>
      <w:proofErr w:type="spellEnd"/>
      <w:r w:rsidRPr="00B43731">
        <w:rPr>
          <w:szCs w:val="22"/>
        </w:rPr>
        <w:t xml:space="preserve"> </w:t>
      </w:r>
      <w:proofErr w:type="spellStart"/>
      <w:r>
        <w:rPr>
          <w:szCs w:val="22"/>
        </w:rPr>
        <w:t>esz</w:t>
      </w:r>
      <w:r w:rsidR="007040EF">
        <w:rPr>
          <w:szCs w:val="22"/>
        </w:rPr>
        <w:t>z</w:t>
      </w:r>
      <w:r>
        <w:rPr>
          <w:szCs w:val="22"/>
        </w:rPr>
        <w:t>opiklon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együttes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felírása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opioidokkal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olyan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betegek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számára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korlátozódik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akiknél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alternatív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kezelési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lehetőségek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nem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lehetségesek</w:t>
      </w:r>
      <w:proofErr w:type="spellEnd"/>
      <w:r w:rsidRPr="00B43731">
        <w:rPr>
          <w:szCs w:val="22"/>
        </w:rPr>
        <w:t>.</w:t>
      </w:r>
    </w:p>
    <w:p w14:paraId="70FDA5F5" w14:textId="030EA59D" w:rsidR="0082217D" w:rsidRDefault="0082217D" w:rsidP="0082217D">
      <w:pPr>
        <w:rPr>
          <w:szCs w:val="22"/>
          <w:lang w:eastAsia="hu-HU"/>
        </w:rPr>
      </w:pPr>
      <w:r w:rsidRPr="00B43731">
        <w:rPr>
          <w:szCs w:val="22"/>
        </w:rPr>
        <w:t xml:space="preserve">Ha </w:t>
      </w:r>
      <w:proofErr w:type="spellStart"/>
      <w:r w:rsidRPr="00B43731">
        <w:rPr>
          <w:szCs w:val="22"/>
        </w:rPr>
        <w:t>az</w:t>
      </w:r>
      <w:proofErr w:type="spellEnd"/>
      <w:r w:rsidRPr="00B43731">
        <w:rPr>
          <w:szCs w:val="22"/>
        </w:rPr>
        <w:t xml:space="preserve"> </w:t>
      </w:r>
      <w:proofErr w:type="spellStart"/>
      <w:r w:rsidR="00A2123E">
        <w:rPr>
          <w:szCs w:val="22"/>
        </w:rPr>
        <w:t>es</w:t>
      </w:r>
      <w:r w:rsidR="007040EF">
        <w:rPr>
          <w:szCs w:val="22"/>
        </w:rPr>
        <w:t>z</w:t>
      </w:r>
      <w:r w:rsidR="00A2123E">
        <w:rPr>
          <w:szCs w:val="22"/>
        </w:rPr>
        <w:t>zopiklon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és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opioidok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együttes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felírásáról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születik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döntés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akkor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legkisebb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hatásos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dózist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kell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lehető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legrövidebb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ideig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alkalmazni</w:t>
      </w:r>
      <w:proofErr w:type="spellEnd"/>
      <w:r w:rsidRPr="00B43731">
        <w:rPr>
          <w:szCs w:val="22"/>
        </w:rPr>
        <w:t xml:space="preserve"> (</w:t>
      </w:r>
      <w:proofErr w:type="spellStart"/>
      <w:r w:rsidRPr="00B43731">
        <w:rPr>
          <w:szCs w:val="22"/>
          <w:lang w:eastAsia="hu-HU"/>
        </w:rPr>
        <w:t>lásd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még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az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általános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adagolási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javaslatokat</w:t>
      </w:r>
      <w:proofErr w:type="spellEnd"/>
      <w:r w:rsidRPr="00B43731">
        <w:rPr>
          <w:szCs w:val="22"/>
          <w:lang w:eastAsia="hu-HU"/>
        </w:rPr>
        <w:t xml:space="preserve"> a 4.2 </w:t>
      </w:r>
      <w:proofErr w:type="spellStart"/>
      <w:r w:rsidRPr="00B43731">
        <w:rPr>
          <w:szCs w:val="22"/>
          <w:lang w:eastAsia="hu-HU"/>
        </w:rPr>
        <w:t>pontban</w:t>
      </w:r>
      <w:proofErr w:type="spellEnd"/>
      <w:r w:rsidRPr="00B43731">
        <w:rPr>
          <w:szCs w:val="22"/>
          <w:lang w:eastAsia="hu-HU"/>
        </w:rPr>
        <w:t>).</w:t>
      </w:r>
    </w:p>
    <w:p w14:paraId="4DD49EC4" w14:textId="77777777" w:rsidR="0082217D" w:rsidRPr="00B43731" w:rsidRDefault="0082217D" w:rsidP="0082217D">
      <w:pPr>
        <w:rPr>
          <w:szCs w:val="22"/>
        </w:rPr>
      </w:pPr>
    </w:p>
    <w:p w14:paraId="70DB9B4B" w14:textId="77777777" w:rsidR="0082217D" w:rsidRPr="00061C57" w:rsidRDefault="0082217D" w:rsidP="0082217D">
      <w:pPr>
        <w:widowControl w:val="0"/>
        <w:autoSpaceDE w:val="0"/>
        <w:autoSpaceDN w:val="0"/>
        <w:rPr>
          <w:szCs w:val="22"/>
        </w:rPr>
      </w:pPr>
      <w:r w:rsidRPr="00B43731">
        <w:rPr>
          <w:szCs w:val="22"/>
        </w:rPr>
        <w:t xml:space="preserve">A </w:t>
      </w:r>
      <w:proofErr w:type="spellStart"/>
      <w:r w:rsidRPr="00B43731">
        <w:rPr>
          <w:szCs w:val="22"/>
        </w:rPr>
        <w:t>betegek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szoros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megfigyelése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szükséges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légzésdepresszió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és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szedáció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jeleinek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és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tüneteinek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kialakulása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szempontjából</w:t>
      </w:r>
      <w:proofErr w:type="spellEnd"/>
      <w:r w:rsidRPr="00B43731">
        <w:rPr>
          <w:szCs w:val="22"/>
        </w:rPr>
        <w:t xml:space="preserve">. </w:t>
      </w:r>
      <w:proofErr w:type="spellStart"/>
      <w:r w:rsidRPr="00B43731">
        <w:rPr>
          <w:szCs w:val="22"/>
        </w:rPr>
        <w:t>Erősen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ajánlott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erről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tájékoztatni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betegeket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és</w:t>
      </w:r>
      <w:proofErr w:type="spellEnd"/>
      <w:r w:rsidRPr="00B43731">
        <w:rPr>
          <w:szCs w:val="22"/>
        </w:rPr>
        <w:t xml:space="preserve"> (</w:t>
      </w:r>
      <w:proofErr w:type="spellStart"/>
      <w:r w:rsidRPr="00B43731">
        <w:rPr>
          <w:szCs w:val="22"/>
        </w:rPr>
        <w:t>adott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esetben</w:t>
      </w:r>
      <w:proofErr w:type="spellEnd"/>
      <w:r w:rsidRPr="00B43731">
        <w:rPr>
          <w:szCs w:val="22"/>
        </w:rPr>
        <w:t xml:space="preserve">) </w:t>
      </w:r>
      <w:proofErr w:type="spellStart"/>
      <w:r w:rsidRPr="00B43731">
        <w:rPr>
          <w:szCs w:val="22"/>
        </w:rPr>
        <w:t>gondozóikat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hogy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tisztában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legyenek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ezekkel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tünetekkel</w:t>
      </w:r>
      <w:proofErr w:type="spellEnd"/>
      <w:r w:rsidRPr="00B43731">
        <w:rPr>
          <w:szCs w:val="22"/>
        </w:rPr>
        <w:t xml:space="preserve"> (</w:t>
      </w:r>
      <w:proofErr w:type="spellStart"/>
      <w:r w:rsidRPr="00B43731">
        <w:rPr>
          <w:szCs w:val="22"/>
        </w:rPr>
        <w:t>lásd</w:t>
      </w:r>
      <w:proofErr w:type="spellEnd"/>
      <w:r w:rsidRPr="00B43731">
        <w:rPr>
          <w:szCs w:val="22"/>
        </w:rPr>
        <w:t xml:space="preserve"> 4.5 </w:t>
      </w:r>
      <w:proofErr w:type="spellStart"/>
      <w:r w:rsidRPr="00B43731">
        <w:rPr>
          <w:szCs w:val="22"/>
        </w:rPr>
        <w:t>pont</w:t>
      </w:r>
      <w:proofErr w:type="spellEnd"/>
      <w:r w:rsidRPr="00B43731">
        <w:rPr>
          <w:szCs w:val="22"/>
        </w:rPr>
        <w:t>).</w:t>
      </w:r>
      <w:r w:rsidRPr="00061C57">
        <w:rPr>
          <w:szCs w:val="22"/>
        </w:rPr>
        <w:t xml:space="preserve"> </w:t>
      </w:r>
    </w:p>
    <w:p w14:paraId="22DB9BB2" w14:textId="77777777" w:rsidR="007D317B" w:rsidRPr="0082217D" w:rsidRDefault="007D317B" w:rsidP="00AD4E7C">
      <w:pPr>
        <w:tabs>
          <w:tab w:val="clear" w:pos="567"/>
          <w:tab w:val="left" w:pos="28"/>
        </w:tabs>
        <w:spacing w:line="240" w:lineRule="auto"/>
        <w:rPr>
          <w:szCs w:val="22"/>
        </w:rPr>
      </w:pPr>
    </w:p>
    <w:p w14:paraId="5EB0C1E8" w14:textId="3EEB7E1E" w:rsidR="00A56E9E" w:rsidRPr="00A2123E" w:rsidRDefault="0088556E" w:rsidP="008D4234">
      <w:pPr>
        <w:tabs>
          <w:tab w:val="clear" w:pos="567"/>
          <w:tab w:val="left" w:pos="0"/>
        </w:tabs>
        <w:spacing w:line="240" w:lineRule="auto"/>
        <w:rPr>
          <w:i/>
          <w:szCs w:val="22"/>
        </w:rPr>
      </w:pPr>
      <w:r w:rsidRPr="00A2123E">
        <w:rPr>
          <w:i/>
          <w:iCs/>
          <w:szCs w:val="22"/>
          <w:lang w:val="hu"/>
        </w:rPr>
        <w:t>A függőség kockázata</w:t>
      </w:r>
    </w:p>
    <w:p w14:paraId="52B08D77" w14:textId="63F42703" w:rsidR="008A66FA" w:rsidRPr="00C704E6" w:rsidRDefault="0088556E" w:rsidP="008D4234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 w:rsidRPr="00C704E6">
        <w:rPr>
          <w:szCs w:val="22"/>
          <w:lang w:val="hu"/>
        </w:rPr>
        <w:t xml:space="preserve">A </w:t>
      </w:r>
      <w:proofErr w:type="spellStart"/>
      <w:r w:rsidRPr="00C704E6">
        <w:rPr>
          <w:szCs w:val="22"/>
          <w:lang w:val="hu"/>
        </w:rPr>
        <w:t>benzodiazepinek</w:t>
      </w:r>
      <w:proofErr w:type="spellEnd"/>
      <w:r w:rsidRPr="00C704E6">
        <w:rPr>
          <w:szCs w:val="22"/>
          <w:lang w:val="hu"/>
        </w:rPr>
        <w:t xml:space="preserve"> és a </w:t>
      </w:r>
      <w:proofErr w:type="spellStart"/>
      <w:r w:rsidR="00C704E6" w:rsidRPr="00C704E6">
        <w:rPr>
          <w:szCs w:val="22"/>
          <w:lang w:val="hu"/>
        </w:rPr>
        <w:t>benzodiazepin</w:t>
      </w:r>
      <w:r w:rsidR="00C704E6">
        <w:rPr>
          <w:szCs w:val="22"/>
          <w:lang w:val="hu"/>
        </w:rPr>
        <w:t>ekkel</w:t>
      </w:r>
      <w:proofErr w:type="spellEnd"/>
      <w:r w:rsidR="00C704E6">
        <w:rPr>
          <w:szCs w:val="22"/>
          <w:lang w:val="hu"/>
        </w:rPr>
        <w:t xml:space="preserve"> rokon</w:t>
      </w:r>
      <w:r w:rsidR="00C704E6" w:rsidRPr="00C704E6">
        <w:rPr>
          <w:szCs w:val="22"/>
          <w:lang w:val="hu"/>
        </w:rPr>
        <w:t xml:space="preserve"> </w:t>
      </w:r>
      <w:r w:rsidRPr="00C704E6">
        <w:rPr>
          <w:szCs w:val="22"/>
          <w:lang w:val="hu"/>
        </w:rPr>
        <w:t xml:space="preserve">hatóanyagok, például az </w:t>
      </w:r>
      <w:proofErr w:type="spellStart"/>
      <w:r w:rsidRPr="00C704E6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C704E6">
        <w:rPr>
          <w:szCs w:val="22"/>
          <w:lang w:val="hu"/>
        </w:rPr>
        <w:t>opiklon</w:t>
      </w:r>
      <w:proofErr w:type="spellEnd"/>
      <w:r w:rsidRPr="00C704E6">
        <w:rPr>
          <w:szCs w:val="22"/>
          <w:lang w:val="hu"/>
        </w:rPr>
        <w:t xml:space="preserve"> alkalmazása fizikai és pszichés függőséget okozhat. </w:t>
      </w:r>
    </w:p>
    <w:p w14:paraId="5A2FF57B" w14:textId="77777777" w:rsidR="008A66FA" w:rsidRPr="007B3CA8" w:rsidRDefault="0088556E" w:rsidP="008A66FA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 w:rsidRPr="007B3CA8">
        <w:rPr>
          <w:szCs w:val="22"/>
          <w:lang w:val="hu"/>
        </w:rPr>
        <w:t xml:space="preserve">A függőség kockázata emelkedik: </w:t>
      </w:r>
    </w:p>
    <w:p w14:paraId="7CE9550F" w14:textId="51880C7A" w:rsidR="008A66FA" w:rsidRPr="00643EF0" w:rsidRDefault="00C704E6" w:rsidP="008A66FA">
      <w:pPr>
        <w:pStyle w:val="Listaszerbekezds"/>
        <w:numPr>
          <w:ilvl w:val="0"/>
          <w:numId w:val="40"/>
        </w:numPr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szCs w:val="22"/>
          <w:lang w:val="hu"/>
        </w:rPr>
        <w:t>a</w:t>
      </w:r>
      <w:r w:rsidR="005A5397" w:rsidRPr="00643EF0">
        <w:rPr>
          <w:szCs w:val="22"/>
          <w:lang w:val="hu"/>
        </w:rPr>
        <w:t>z adaggal és a kezelés időtartamával</w:t>
      </w:r>
      <w:r>
        <w:rPr>
          <w:szCs w:val="22"/>
          <w:lang w:val="hu"/>
        </w:rPr>
        <w:t>;</w:t>
      </w:r>
    </w:p>
    <w:p w14:paraId="739CE83E" w14:textId="7DD69428" w:rsidR="008A66FA" w:rsidRPr="00643EF0" w:rsidRDefault="00C704E6" w:rsidP="008A66FA">
      <w:pPr>
        <w:pStyle w:val="Listaszerbekezds"/>
        <w:numPr>
          <w:ilvl w:val="0"/>
          <w:numId w:val="40"/>
        </w:numPr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szCs w:val="22"/>
          <w:lang w:val="hu"/>
        </w:rPr>
        <w:t>p</w:t>
      </w:r>
      <w:r w:rsidR="00084F5D" w:rsidRPr="00643EF0">
        <w:rPr>
          <w:szCs w:val="22"/>
          <w:lang w:val="hu"/>
        </w:rPr>
        <w:t>szichiátriai kórképekkel és/vagy alkohol-, kábítószer- vagy gyógyszerabúzussal érintett betegeknél is magasabb</w:t>
      </w:r>
      <w:r>
        <w:rPr>
          <w:szCs w:val="22"/>
          <w:lang w:val="hu"/>
        </w:rPr>
        <w:t>;</w:t>
      </w:r>
    </w:p>
    <w:p w14:paraId="2D573367" w14:textId="678CF786" w:rsidR="00A56E9E" w:rsidRPr="00643EF0" w:rsidRDefault="00C704E6" w:rsidP="00A56E9E">
      <w:pPr>
        <w:pStyle w:val="Listaszerbekezds"/>
        <w:numPr>
          <w:ilvl w:val="0"/>
          <w:numId w:val="40"/>
        </w:numPr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szCs w:val="22"/>
          <w:lang w:val="hu"/>
        </w:rPr>
        <w:t>k</w:t>
      </w:r>
      <w:r w:rsidR="005A5397" w:rsidRPr="00643EF0">
        <w:rPr>
          <w:szCs w:val="22"/>
          <w:lang w:val="hu"/>
        </w:rPr>
        <w:t>omoly személyiségzavarral érintett betegeknél.</w:t>
      </w:r>
    </w:p>
    <w:p w14:paraId="2BE3E671" w14:textId="77777777" w:rsidR="00A56E9E" w:rsidRPr="0082217D" w:rsidRDefault="00A56E9E" w:rsidP="008A66FA">
      <w:pPr>
        <w:tabs>
          <w:tab w:val="clear" w:pos="567"/>
          <w:tab w:val="left" w:pos="0"/>
        </w:tabs>
        <w:spacing w:line="240" w:lineRule="auto"/>
        <w:rPr>
          <w:szCs w:val="22"/>
        </w:rPr>
      </w:pPr>
    </w:p>
    <w:p w14:paraId="7DCFF5B3" w14:textId="77777777" w:rsidR="0088556E" w:rsidRPr="007B3CA8" w:rsidRDefault="0088556E" w:rsidP="008A66FA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 w:rsidRPr="00A2123E">
        <w:rPr>
          <w:szCs w:val="22"/>
          <w:lang w:val="hu"/>
        </w:rPr>
        <w:t xml:space="preserve">Fizikai függőség kialakulása esetén a kezelés hirtelen abbahagyása elvonási tünetekkel jár. Ezek a következők lehetnek: fejfájás, izomfájdalom, extrém szorongás, feszültség, nyugtalanság, zavartság és ingerlékenység. Súlyos esetekben a következő tünetek fordulhatnak elő: </w:t>
      </w:r>
      <w:proofErr w:type="spellStart"/>
      <w:r w:rsidRPr="00A2123E">
        <w:rPr>
          <w:szCs w:val="22"/>
          <w:lang w:val="hu"/>
        </w:rPr>
        <w:t>derealisatio</w:t>
      </w:r>
      <w:proofErr w:type="spellEnd"/>
      <w:r w:rsidRPr="00A2123E">
        <w:rPr>
          <w:szCs w:val="22"/>
          <w:lang w:val="hu"/>
        </w:rPr>
        <w:t xml:space="preserve">, </w:t>
      </w:r>
      <w:proofErr w:type="spellStart"/>
      <w:r w:rsidRPr="00A2123E">
        <w:rPr>
          <w:szCs w:val="22"/>
          <w:lang w:val="hu"/>
        </w:rPr>
        <w:t>depersonalisatio</w:t>
      </w:r>
      <w:proofErr w:type="spellEnd"/>
      <w:r w:rsidRPr="00A2123E">
        <w:rPr>
          <w:szCs w:val="22"/>
          <w:lang w:val="hu"/>
        </w:rPr>
        <w:t xml:space="preserve">, </w:t>
      </w:r>
      <w:proofErr w:type="spellStart"/>
      <w:r w:rsidRPr="00A2123E">
        <w:rPr>
          <w:szCs w:val="22"/>
          <w:lang w:val="hu"/>
        </w:rPr>
        <w:t>hype</w:t>
      </w:r>
      <w:r w:rsidRPr="007B3CA8">
        <w:rPr>
          <w:szCs w:val="22"/>
          <w:lang w:val="hu"/>
        </w:rPr>
        <w:t>racusis</w:t>
      </w:r>
      <w:proofErr w:type="spellEnd"/>
      <w:r w:rsidRPr="007B3CA8">
        <w:rPr>
          <w:szCs w:val="22"/>
          <w:lang w:val="hu"/>
        </w:rPr>
        <w:t>, végtagzsibbadás és -bizsergés, fénnyel, zajjal és fizikai kontaktussal szembeni túlérzékenység, hallucinációk vagy epilepsziás rohamok.</w:t>
      </w:r>
    </w:p>
    <w:p w14:paraId="2E11D116" w14:textId="77777777" w:rsidR="00C15226" w:rsidRPr="00D24220" w:rsidRDefault="00C15226" w:rsidP="008D4234">
      <w:pPr>
        <w:tabs>
          <w:tab w:val="clear" w:pos="567"/>
          <w:tab w:val="left" w:pos="0"/>
        </w:tabs>
        <w:spacing w:line="240" w:lineRule="auto"/>
        <w:rPr>
          <w:szCs w:val="22"/>
        </w:rPr>
      </w:pPr>
    </w:p>
    <w:p w14:paraId="7C8EF29C" w14:textId="2600C5EB" w:rsidR="0088556E" w:rsidRPr="00635B03" w:rsidRDefault="0088556E" w:rsidP="008D4234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 hosszan tartó kezelést igénylő betegeket (lásd 4.2 pont) rendszeresen </w:t>
      </w:r>
      <w:proofErr w:type="spellStart"/>
      <w:r w:rsidRPr="00635B03">
        <w:rPr>
          <w:szCs w:val="22"/>
          <w:lang w:val="hu"/>
        </w:rPr>
        <w:t>monitorozni</w:t>
      </w:r>
      <w:proofErr w:type="spellEnd"/>
      <w:r w:rsidRPr="00635B03">
        <w:rPr>
          <w:szCs w:val="22"/>
          <w:lang w:val="hu"/>
        </w:rPr>
        <w:t xml:space="preserve"> és értékelni kell a függőség lehetséges jelei tekintetében (pl. a gyógyszer előírtnál nagyobb adagokban vagy hosszabb ideig történő szedése, tartós vágyakozás vagy sikertelen próbálkozások a gyógyszer alkalmazásának mérséklésére vagy kontroll alatt tartására), és a klinikai szükségleteknek megfelelő kezelésben kell részesíteni őket.</w:t>
      </w:r>
    </w:p>
    <w:p w14:paraId="12FE3EAA" w14:textId="77777777" w:rsidR="007D7286" w:rsidRPr="00635B03" w:rsidRDefault="007D7286" w:rsidP="008D4234">
      <w:pPr>
        <w:tabs>
          <w:tab w:val="clear" w:pos="567"/>
          <w:tab w:val="left" w:pos="0"/>
        </w:tabs>
        <w:spacing w:line="240" w:lineRule="auto"/>
        <w:rPr>
          <w:szCs w:val="22"/>
        </w:rPr>
      </w:pPr>
    </w:p>
    <w:p w14:paraId="20768EDD" w14:textId="55F34409" w:rsidR="00334E98" w:rsidRPr="00635B03" w:rsidRDefault="007D7286" w:rsidP="008D4234">
      <w:pPr>
        <w:tabs>
          <w:tab w:val="clear" w:pos="567"/>
          <w:tab w:val="left" w:pos="0"/>
        </w:tabs>
        <w:spacing w:line="240" w:lineRule="auto"/>
        <w:rPr>
          <w:i/>
          <w:szCs w:val="22"/>
        </w:rPr>
      </w:pPr>
      <w:r w:rsidRPr="00635B03">
        <w:rPr>
          <w:i/>
          <w:iCs/>
          <w:szCs w:val="22"/>
          <w:lang w:val="hu"/>
        </w:rPr>
        <w:t>Elvonás</w:t>
      </w:r>
    </w:p>
    <w:p w14:paraId="030F4A93" w14:textId="28899A06" w:rsidR="007D7286" w:rsidRPr="00635B03" w:rsidRDefault="00334E98" w:rsidP="008D4234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Az </w:t>
      </w:r>
      <w:proofErr w:type="spellStart"/>
      <w:r w:rsidRPr="00635B03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opiklon</w:t>
      </w:r>
      <w:proofErr w:type="spellEnd"/>
      <w:r w:rsidR="00DC073A" w:rsidRPr="00635B03">
        <w:rPr>
          <w:szCs w:val="22"/>
          <w:lang w:val="hu"/>
        </w:rPr>
        <w:t>-</w:t>
      </w:r>
      <w:r w:rsidRPr="00635B03">
        <w:rPr>
          <w:szCs w:val="22"/>
          <w:lang w:val="hu"/>
        </w:rPr>
        <w:t>kezelés megszakítása után elvonási tünetekről (beleértve a következőket: hasi fájdalom, fejfájás, fokozott étvágy és álmatlanság) számoltak be.</w:t>
      </w:r>
    </w:p>
    <w:p w14:paraId="7CACA0EC" w14:textId="77777777" w:rsidR="007D7286" w:rsidRPr="00635B03" w:rsidRDefault="007D7286" w:rsidP="008D4234">
      <w:pPr>
        <w:tabs>
          <w:tab w:val="clear" w:pos="567"/>
          <w:tab w:val="left" w:pos="0"/>
        </w:tabs>
        <w:spacing w:line="240" w:lineRule="auto"/>
        <w:rPr>
          <w:szCs w:val="22"/>
        </w:rPr>
      </w:pPr>
    </w:p>
    <w:p w14:paraId="05A66E6F" w14:textId="77777777" w:rsidR="007D7286" w:rsidRPr="00635B03" w:rsidRDefault="007D7286" w:rsidP="008D4234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35B03">
        <w:rPr>
          <w:i/>
          <w:iCs/>
          <w:szCs w:val="22"/>
          <w:lang w:val="hu"/>
        </w:rPr>
        <w:t>Rebound</w:t>
      </w:r>
      <w:proofErr w:type="spellEnd"/>
      <w:r w:rsidRPr="00635B03">
        <w:rPr>
          <w:i/>
          <w:iCs/>
          <w:szCs w:val="22"/>
          <w:lang w:val="hu"/>
        </w:rPr>
        <w:t xml:space="preserve"> álmatlanság</w:t>
      </w:r>
    </w:p>
    <w:p w14:paraId="5CE743B5" w14:textId="41E6B34B" w:rsidR="0088556E" w:rsidRPr="00635B03" w:rsidRDefault="007D7286" w:rsidP="008D4234">
      <w:pPr>
        <w:tabs>
          <w:tab w:val="clear" w:pos="567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Az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</w:t>
      </w:r>
      <w:proofErr w:type="spellEnd"/>
      <w:r w:rsidR="00DC073A" w:rsidRPr="00635B03">
        <w:rPr>
          <w:szCs w:val="22"/>
          <w:lang w:val="hu"/>
        </w:rPr>
        <w:t>-</w:t>
      </w:r>
      <w:r w:rsidRPr="00635B03">
        <w:rPr>
          <w:szCs w:val="22"/>
          <w:lang w:val="hu"/>
        </w:rPr>
        <w:t xml:space="preserve">kezelés abbahagyása után </w:t>
      </w:r>
      <w:proofErr w:type="spellStart"/>
      <w:r w:rsidRPr="00635B03">
        <w:rPr>
          <w:szCs w:val="22"/>
          <w:lang w:val="hu"/>
        </w:rPr>
        <w:t>rebound</w:t>
      </w:r>
      <w:proofErr w:type="spellEnd"/>
      <w:r w:rsidRPr="00635B03">
        <w:rPr>
          <w:szCs w:val="22"/>
          <w:lang w:val="hu"/>
        </w:rPr>
        <w:t xml:space="preserve"> álmatlanságot figyeltek meg, amely az </w:t>
      </w:r>
      <w:proofErr w:type="spellStart"/>
      <w:r w:rsidRPr="00635B03">
        <w:rPr>
          <w:szCs w:val="22"/>
          <w:lang w:val="hu"/>
        </w:rPr>
        <w:t>alváslatencia</w:t>
      </w:r>
      <w:proofErr w:type="spellEnd"/>
      <w:r w:rsidRPr="00635B03">
        <w:rPr>
          <w:szCs w:val="22"/>
          <w:lang w:val="hu"/>
        </w:rPr>
        <w:t xml:space="preserve"> egy vagy két éjszakán át tartó növekedésében nyilvánult meg. Ezek az események beavatkozás nélkül rendeződtek. Fontos, hogy a betegek legyenek tisztában a </w:t>
      </w:r>
      <w:proofErr w:type="spellStart"/>
      <w:r w:rsidRPr="00635B03">
        <w:rPr>
          <w:szCs w:val="22"/>
          <w:lang w:val="hu"/>
        </w:rPr>
        <w:t>rebound</w:t>
      </w:r>
      <w:proofErr w:type="spellEnd"/>
      <w:r w:rsidRPr="00635B03">
        <w:rPr>
          <w:szCs w:val="22"/>
          <w:lang w:val="hu"/>
        </w:rPr>
        <w:t xml:space="preserve"> jelenségek lehetőségével, így a lehető legkevesebb szorongással éljék meg, ha a gyógyszer abbahagyásakor mégis kialakulnak ilyen tünetek.</w:t>
      </w:r>
    </w:p>
    <w:p w14:paraId="2F1D571D" w14:textId="77777777" w:rsidR="007D7286" w:rsidRPr="00635B03" w:rsidRDefault="007D7286" w:rsidP="008D4234">
      <w:pPr>
        <w:spacing w:line="240" w:lineRule="auto"/>
        <w:rPr>
          <w:szCs w:val="22"/>
        </w:rPr>
      </w:pPr>
    </w:p>
    <w:p w14:paraId="59CFBA97" w14:textId="5896E98B" w:rsidR="00BC006C" w:rsidRPr="00635B03" w:rsidRDefault="007D7286" w:rsidP="008D4234">
      <w:pPr>
        <w:spacing w:line="240" w:lineRule="auto"/>
        <w:rPr>
          <w:i/>
          <w:iCs/>
          <w:szCs w:val="22"/>
        </w:rPr>
      </w:pPr>
      <w:r w:rsidRPr="00635B03">
        <w:rPr>
          <w:i/>
          <w:iCs/>
          <w:szCs w:val="22"/>
          <w:lang w:val="hu"/>
        </w:rPr>
        <w:t>Tolerancia</w:t>
      </w:r>
    </w:p>
    <w:p w14:paraId="0BAF08B5" w14:textId="4A79194A" w:rsidR="007D7286" w:rsidRPr="00635B03" w:rsidRDefault="007D7286" w:rsidP="008D4234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lastRenderedPageBreak/>
        <w:t xml:space="preserve">Az </w:t>
      </w:r>
      <w:proofErr w:type="spellStart"/>
      <w:r w:rsidRPr="00635B03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opiklonnal</w:t>
      </w:r>
      <w:proofErr w:type="spellEnd"/>
      <w:r w:rsidRPr="00635B03">
        <w:rPr>
          <w:szCs w:val="22"/>
          <w:lang w:val="hu"/>
        </w:rPr>
        <w:t xml:space="preserve"> végzett klinikai vizsgálatokban az alvás mérésére használt bármelyik paraméter tekintetében sem figyelték meg tolerancia kialakulását legfeljebb hat hónapig terjedő kezelések során (lásd 5.1 pont).</w:t>
      </w:r>
    </w:p>
    <w:p w14:paraId="54EDD035" w14:textId="77777777" w:rsidR="007D7286" w:rsidRPr="00635B03" w:rsidRDefault="007D7286" w:rsidP="008D4234">
      <w:pPr>
        <w:spacing w:line="240" w:lineRule="auto"/>
        <w:rPr>
          <w:szCs w:val="22"/>
        </w:rPr>
      </w:pPr>
    </w:p>
    <w:p w14:paraId="425973E5" w14:textId="77777777" w:rsidR="00351922" w:rsidRPr="00635B03" w:rsidRDefault="00AB26E1" w:rsidP="00351922">
      <w:pPr>
        <w:spacing w:line="240" w:lineRule="auto"/>
        <w:rPr>
          <w:i/>
          <w:iCs/>
          <w:szCs w:val="22"/>
        </w:rPr>
      </w:pPr>
      <w:r w:rsidRPr="00635B03">
        <w:rPr>
          <w:i/>
          <w:iCs/>
          <w:szCs w:val="22"/>
          <w:lang w:val="hu"/>
        </w:rPr>
        <w:t xml:space="preserve">Memória- és </w:t>
      </w:r>
      <w:proofErr w:type="spellStart"/>
      <w:r w:rsidRPr="00635B03">
        <w:rPr>
          <w:i/>
          <w:iCs/>
          <w:szCs w:val="22"/>
          <w:lang w:val="hu"/>
        </w:rPr>
        <w:t>pszichomotoros</w:t>
      </w:r>
      <w:proofErr w:type="spellEnd"/>
      <w:r w:rsidRPr="00635B03">
        <w:rPr>
          <w:i/>
          <w:iCs/>
          <w:szCs w:val="22"/>
          <w:lang w:val="hu"/>
        </w:rPr>
        <w:t xml:space="preserve"> károsodás</w:t>
      </w:r>
    </w:p>
    <w:p w14:paraId="7CBFEE95" w14:textId="22CC0BF1" w:rsidR="00AB26E1" w:rsidRPr="000D48BC" w:rsidRDefault="00AB26E1" w:rsidP="00351922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 </w:t>
      </w:r>
      <w:proofErr w:type="spellStart"/>
      <w:r w:rsidRPr="00635B03">
        <w:rPr>
          <w:szCs w:val="22"/>
          <w:lang w:val="hu"/>
        </w:rPr>
        <w:t>benzodiazepinek</w:t>
      </w:r>
      <w:proofErr w:type="spellEnd"/>
      <w:r w:rsidRPr="00635B03">
        <w:rPr>
          <w:szCs w:val="22"/>
          <w:lang w:val="hu"/>
        </w:rPr>
        <w:t xml:space="preserve"> és a </w:t>
      </w:r>
      <w:proofErr w:type="spellStart"/>
      <w:r w:rsidR="000D48BC" w:rsidRPr="00635B03">
        <w:rPr>
          <w:szCs w:val="22"/>
          <w:lang w:val="hu"/>
        </w:rPr>
        <w:t>benzodiazepin</w:t>
      </w:r>
      <w:r w:rsidR="000D48BC">
        <w:rPr>
          <w:szCs w:val="22"/>
          <w:lang w:val="hu"/>
        </w:rPr>
        <w:t>nel</w:t>
      </w:r>
      <w:proofErr w:type="spellEnd"/>
      <w:r w:rsidR="000D48BC">
        <w:rPr>
          <w:szCs w:val="22"/>
          <w:lang w:val="hu"/>
        </w:rPr>
        <w:t xml:space="preserve"> rokon</w:t>
      </w:r>
      <w:r w:rsidR="000D48BC" w:rsidRPr="000D48BC">
        <w:rPr>
          <w:szCs w:val="22"/>
          <w:lang w:val="hu"/>
        </w:rPr>
        <w:t xml:space="preserve"> </w:t>
      </w:r>
      <w:r w:rsidR="000D48BC">
        <w:rPr>
          <w:szCs w:val="22"/>
          <w:lang w:val="hu"/>
        </w:rPr>
        <w:t>hatóanyagok</w:t>
      </w:r>
      <w:r w:rsidR="000D48BC" w:rsidRPr="000D48BC">
        <w:rPr>
          <w:szCs w:val="22"/>
          <w:lang w:val="hu"/>
        </w:rPr>
        <w:t xml:space="preserve"> </w:t>
      </w:r>
      <w:r w:rsidRPr="000D48BC">
        <w:rPr>
          <w:szCs w:val="22"/>
          <w:lang w:val="hu"/>
        </w:rPr>
        <w:t xml:space="preserve">(mint amilyen az </w:t>
      </w:r>
      <w:proofErr w:type="spellStart"/>
      <w:r w:rsidRPr="000D48BC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0D48BC">
        <w:rPr>
          <w:szCs w:val="22"/>
          <w:lang w:val="hu"/>
        </w:rPr>
        <w:t>zopiklon</w:t>
      </w:r>
      <w:proofErr w:type="spellEnd"/>
      <w:r w:rsidRPr="000D48BC">
        <w:rPr>
          <w:szCs w:val="22"/>
          <w:lang w:val="hu"/>
        </w:rPr>
        <w:t xml:space="preserve"> is) </w:t>
      </w:r>
      <w:proofErr w:type="spellStart"/>
      <w:r w:rsidRPr="000D48BC">
        <w:rPr>
          <w:szCs w:val="22"/>
          <w:lang w:val="hu"/>
        </w:rPr>
        <w:t>anterográd</w:t>
      </w:r>
      <w:proofErr w:type="spellEnd"/>
      <w:r w:rsidRPr="000D48BC">
        <w:rPr>
          <w:szCs w:val="22"/>
          <w:lang w:val="hu"/>
        </w:rPr>
        <w:t xml:space="preserve"> amnéziát és </w:t>
      </w:r>
      <w:proofErr w:type="spellStart"/>
      <w:r w:rsidRPr="000D48BC">
        <w:rPr>
          <w:szCs w:val="22"/>
          <w:lang w:val="hu"/>
        </w:rPr>
        <w:t>pszichomotoros</w:t>
      </w:r>
      <w:proofErr w:type="spellEnd"/>
      <w:r w:rsidRPr="000D48BC">
        <w:rPr>
          <w:szCs w:val="22"/>
          <w:lang w:val="hu"/>
        </w:rPr>
        <w:t xml:space="preserve"> károsodást, például véletlen sérüléseket és elesést válthatnak ki. Különösen az idős betegeknél nagy az elesés és az abból származó sérülések, például csípőtörés kockázata.</w:t>
      </w:r>
    </w:p>
    <w:p w14:paraId="5D299B7E" w14:textId="370ADC45" w:rsidR="00A049FF" w:rsidRPr="00635B03" w:rsidRDefault="00A049FF" w:rsidP="00A049FF">
      <w:pPr>
        <w:spacing w:line="240" w:lineRule="auto"/>
        <w:rPr>
          <w:szCs w:val="22"/>
        </w:rPr>
      </w:pPr>
      <w:r w:rsidRPr="00D24220">
        <w:rPr>
          <w:szCs w:val="22"/>
          <w:lang w:val="hu"/>
        </w:rPr>
        <w:t>Az amnézia rendszerint több órával a gyógyszer bevétele után alakul ki. A kockázat csökkentéséhez a betegnek arra kell készülnie, hogy legalább 8 órán át megszakítás nélkül alhasson (lásd 4.8 pont).</w:t>
      </w:r>
    </w:p>
    <w:p w14:paraId="1DF0C55A" w14:textId="77777777" w:rsidR="00133171" w:rsidRPr="00635B03" w:rsidRDefault="00133171" w:rsidP="00A049FF">
      <w:pPr>
        <w:pStyle w:val="MGGTextLeft"/>
        <w:rPr>
          <w:b/>
          <w:i/>
          <w:szCs w:val="22"/>
        </w:rPr>
      </w:pPr>
    </w:p>
    <w:p w14:paraId="4E2684F0" w14:textId="348F09AE" w:rsidR="00A049FF" w:rsidRPr="00635B03" w:rsidRDefault="00A049FF" w:rsidP="00A049FF">
      <w:pPr>
        <w:pStyle w:val="MGGTextLeft"/>
        <w:rPr>
          <w:szCs w:val="22"/>
        </w:rPr>
      </w:pPr>
      <w:r w:rsidRPr="00635B03">
        <w:rPr>
          <w:szCs w:val="22"/>
          <w:lang w:val="hu"/>
        </w:rPr>
        <w:t xml:space="preserve">A másnapi </w:t>
      </w:r>
      <w:proofErr w:type="spellStart"/>
      <w:r w:rsidRPr="00635B03">
        <w:rPr>
          <w:szCs w:val="22"/>
          <w:lang w:val="hu"/>
        </w:rPr>
        <w:t>pszichomotoros</w:t>
      </w:r>
      <w:proofErr w:type="spellEnd"/>
      <w:r w:rsidRPr="00635B03">
        <w:rPr>
          <w:szCs w:val="22"/>
          <w:lang w:val="hu"/>
        </w:rPr>
        <w:t xml:space="preserve"> károsodás – beleértve a csökkent gépjárművezetési képességet – kockázata megnő, ha:</w:t>
      </w:r>
    </w:p>
    <w:p w14:paraId="36C6B7FD" w14:textId="08F2F126" w:rsidR="00A049FF" w:rsidRPr="00635B03" w:rsidRDefault="00A049FF" w:rsidP="00A049FF">
      <w:pPr>
        <w:pStyle w:val="MGGTextLeft"/>
        <w:numPr>
          <w:ilvl w:val="0"/>
          <w:numId w:val="42"/>
        </w:numPr>
        <w:tabs>
          <w:tab w:val="left" w:pos="90"/>
          <w:tab w:val="left" w:pos="180"/>
        </w:tabs>
        <w:ind w:left="450"/>
        <w:rPr>
          <w:szCs w:val="22"/>
        </w:rPr>
      </w:pPr>
      <w:r w:rsidRPr="00635B03">
        <w:rPr>
          <w:szCs w:val="22"/>
          <w:lang w:val="hu"/>
        </w:rPr>
        <w:t xml:space="preserve">az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zopiklont</w:t>
      </w:r>
      <w:proofErr w:type="spellEnd"/>
      <w:r w:rsidRPr="00635B03">
        <w:rPr>
          <w:szCs w:val="22"/>
          <w:lang w:val="hu"/>
        </w:rPr>
        <w:t xml:space="preserve"> kevesebb mint 12 órával szellemi éberséget igénylő feladatok végrehajtása előtt veszik be (lásd 4.7 pont);</w:t>
      </w:r>
    </w:p>
    <w:p w14:paraId="008D45B9" w14:textId="77777777" w:rsidR="00A049FF" w:rsidRPr="00635B03" w:rsidRDefault="00A049FF" w:rsidP="00A049FF">
      <w:pPr>
        <w:pStyle w:val="MGGTextLeft"/>
        <w:numPr>
          <w:ilvl w:val="0"/>
          <w:numId w:val="42"/>
        </w:numPr>
        <w:tabs>
          <w:tab w:val="left" w:pos="90"/>
          <w:tab w:val="left" w:pos="180"/>
        </w:tabs>
        <w:ind w:left="450"/>
        <w:rPr>
          <w:iCs/>
          <w:szCs w:val="22"/>
        </w:rPr>
      </w:pPr>
      <w:r w:rsidRPr="00635B03">
        <w:rPr>
          <w:szCs w:val="22"/>
          <w:lang w:val="hu"/>
        </w:rPr>
        <w:t>az ajánlottnál nagyobb adagot vesznek be;</w:t>
      </w:r>
    </w:p>
    <w:p w14:paraId="46B87165" w14:textId="5DDAE10B" w:rsidR="00A049FF" w:rsidRPr="00635B03" w:rsidRDefault="00A049FF" w:rsidP="00A049FF">
      <w:pPr>
        <w:pStyle w:val="MGGTextLeft"/>
        <w:numPr>
          <w:ilvl w:val="0"/>
          <w:numId w:val="42"/>
        </w:numPr>
        <w:tabs>
          <w:tab w:val="left" w:pos="90"/>
          <w:tab w:val="left" w:pos="180"/>
        </w:tabs>
        <w:ind w:left="450"/>
        <w:rPr>
          <w:iCs/>
          <w:szCs w:val="22"/>
        </w:rPr>
      </w:pPr>
      <w:r w:rsidRPr="00635B03">
        <w:rPr>
          <w:szCs w:val="22"/>
          <w:lang w:val="hu"/>
        </w:rPr>
        <w:t xml:space="preserve">az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zopiklont</w:t>
      </w:r>
      <w:proofErr w:type="spellEnd"/>
      <w:r w:rsidRPr="00635B03">
        <w:rPr>
          <w:szCs w:val="22"/>
          <w:lang w:val="hu"/>
        </w:rPr>
        <w:t xml:space="preserve"> egyéb KIR-</w:t>
      </w:r>
      <w:proofErr w:type="spellStart"/>
      <w:r w:rsidRPr="00635B03">
        <w:rPr>
          <w:szCs w:val="22"/>
          <w:lang w:val="hu"/>
        </w:rPr>
        <w:t>depresszáns</w:t>
      </w:r>
      <w:proofErr w:type="spellEnd"/>
      <w:r w:rsidRPr="00635B03">
        <w:rPr>
          <w:szCs w:val="22"/>
          <w:lang w:val="hu"/>
        </w:rPr>
        <w:t xml:space="preserve"> szerekkel vagy a vér </w:t>
      </w:r>
      <w:proofErr w:type="spellStart"/>
      <w:r w:rsidR="00215D6F"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="00215D6F" w:rsidRPr="00635B03">
        <w:rPr>
          <w:szCs w:val="22"/>
          <w:lang w:val="hu"/>
        </w:rPr>
        <w:t>zopiklon</w:t>
      </w:r>
      <w:r w:rsidRPr="00635B03">
        <w:rPr>
          <w:szCs w:val="22"/>
          <w:lang w:val="hu"/>
        </w:rPr>
        <w:t>szintjét</w:t>
      </w:r>
      <w:proofErr w:type="spellEnd"/>
      <w:r w:rsidRPr="00635B03">
        <w:rPr>
          <w:szCs w:val="22"/>
          <w:lang w:val="hu"/>
        </w:rPr>
        <w:t xml:space="preserve"> emelő gyógyszerekkel, illetve alkohollal vagy kábítószerekkel egyidejűleg alkalmazzák (lásd 4.5 pont).</w:t>
      </w:r>
    </w:p>
    <w:p w14:paraId="6A30B486" w14:textId="30F83D70" w:rsidR="00AB26E1" w:rsidRPr="000D48BC" w:rsidRDefault="00A049FF" w:rsidP="00351922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Az </w:t>
      </w:r>
      <w:proofErr w:type="spellStart"/>
      <w:r w:rsidRPr="00635B03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opiklon</w:t>
      </w:r>
      <w:proofErr w:type="spellEnd"/>
      <w:r w:rsidRPr="00635B03">
        <w:rPr>
          <w:szCs w:val="22"/>
          <w:lang w:val="hu"/>
        </w:rPr>
        <w:t xml:space="preserve"> adagját egyszerre kell bevenni lefekvéskor. Az éjszaka során nem szabad újabb adagot bevenni a gyógyszerből</w:t>
      </w:r>
      <w:r w:rsidR="000D48BC">
        <w:rPr>
          <w:szCs w:val="22"/>
          <w:lang w:val="hu"/>
        </w:rPr>
        <w:t>.</w:t>
      </w:r>
    </w:p>
    <w:p w14:paraId="582C48AC" w14:textId="77777777" w:rsidR="0079363C" w:rsidRPr="00D24220" w:rsidRDefault="0079363C" w:rsidP="008D4234">
      <w:pPr>
        <w:tabs>
          <w:tab w:val="clear" w:pos="567"/>
          <w:tab w:val="left" w:pos="28"/>
        </w:tabs>
        <w:spacing w:line="240" w:lineRule="auto"/>
        <w:rPr>
          <w:szCs w:val="22"/>
        </w:rPr>
      </w:pPr>
    </w:p>
    <w:p w14:paraId="7FE4CC6D" w14:textId="127A8689" w:rsidR="002C6743" w:rsidRPr="00D24220" w:rsidRDefault="002C6743" w:rsidP="002C6743">
      <w:pPr>
        <w:tabs>
          <w:tab w:val="clear" w:pos="567"/>
          <w:tab w:val="left" w:pos="28"/>
        </w:tabs>
        <w:spacing w:line="240" w:lineRule="auto"/>
        <w:rPr>
          <w:i/>
          <w:iCs/>
          <w:szCs w:val="22"/>
        </w:rPr>
      </w:pPr>
      <w:r w:rsidRPr="00D24220">
        <w:rPr>
          <w:i/>
          <w:iCs/>
          <w:szCs w:val="22"/>
          <w:lang w:val="hu"/>
        </w:rPr>
        <w:t xml:space="preserve">Depresszió és </w:t>
      </w:r>
      <w:proofErr w:type="spellStart"/>
      <w:r w:rsidRPr="00D24220">
        <w:rPr>
          <w:i/>
          <w:iCs/>
          <w:szCs w:val="22"/>
          <w:lang w:val="hu"/>
        </w:rPr>
        <w:t>s</w:t>
      </w:r>
      <w:r w:rsidR="00D24220">
        <w:rPr>
          <w:i/>
          <w:iCs/>
          <w:szCs w:val="22"/>
          <w:lang w:val="hu"/>
        </w:rPr>
        <w:t>z</w:t>
      </w:r>
      <w:r w:rsidRPr="00D24220">
        <w:rPr>
          <w:i/>
          <w:iCs/>
          <w:szCs w:val="22"/>
          <w:lang w:val="hu"/>
        </w:rPr>
        <w:t>uicid</w:t>
      </w:r>
      <w:proofErr w:type="spellEnd"/>
      <w:r w:rsidRPr="00D24220">
        <w:rPr>
          <w:i/>
          <w:iCs/>
          <w:szCs w:val="22"/>
          <w:lang w:val="hu"/>
        </w:rPr>
        <w:t xml:space="preserve"> hajlam</w:t>
      </w:r>
    </w:p>
    <w:p w14:paraId="4426CAC6" w14:textId="3E59AE61" w:rsidR="00BE14C0" w:rsidRPr="00635B03" w:rsidRDefault="00BE14C0" w:rsidP="002C6743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Az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zopiklont</w:t>
      </w:r>
      <w:proofErr w:type="spellEnd"/>
      <w:r w:rsidRPr="00635B03">
        <w:rPr>
          <w:szCs w:val="22"/>
          <w:lang w:val="hu"/>
        </w:rPr>
        <w:t xml:space="preserve"> elővigyázatossággal kell alkalmazni depresszió tüneteit mutató betegeknél.</w:t>
      </w:r>
    </w:p>
    <w:p w14:paraId="07836C42" w14:textId="11839E07" w:rsidR="00084F5D" w:rsidRPr="00D24220" w:rsidRDefault="002C6743" w:rsidP="002C6743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 </w:t>
      </w:r>
      <w:proofErr w:type="spellStart"/>
      <w:r w:rsidRPr="00635B03">
        <w:rPr>
          <w:szCs w:val="22"/>
          <w:lang w:val="hu"/>
        </w:rPr>
        <w:t>benzodiazepinek</w:t>
      </w:r>
      <w:proofErr w:type="spellEnd"/>
      <w:r w:rsidRPr="00635B03">
        <w:rPr>
          <w:szCs w:val="22"/>
          <w:lang w:val="hu"/>
        </w:rPr>
        <w:t xml:space="preserve"> és a </w:t>
      </w:r>
      <w:proofErr w:type="spellStart"/>
      <w:r w:rsidRPr="00635B03">
        <w:rPr>
          <w:szCs w:val="22"/>
          <w:lang w:val="hu"/>
        </w:rPr>
        <w:t>benzodiazepin</w:t>
      </w:r>
      <w:r w:rsidR="00D24220">
        <w:rPr>
          <w:szCs w:val="22"/>
          <w:lang w:val="hu"/>
        </w:rPr>
        <w:t>nel</w:t>
      </w:r>
      <w:proofErr w:type="spellEnd"/>
      <w:r w:rsidR="00D24220">
        <w:rPr>
          <w:szCs w:val="22"/>
          <w:lang w:val="hu"/>
        </w:rPr>
        <w:t xml:space="preserve"> rokon hatóanyagok</w:t>
      </w:r>
      <w:r w:rsidRPr="00D24220">
        <w:rPr>
          <w:szCs w:val="22"/>
          <w:lang w:val="hu"/>
        </w:rPr>
        <w:t xml:space="preserve"> – például az </w:t>
      </w:r>
      <w:proofErr w:type="spellStart"/>
      <w:r w:rsidRPr="00D24220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D24220">
        <w:rPr>
          <w:szCs w:val="22"/>
          <w:lang w:val="hu"/>
        </w:rPr>
        <w:t>zopiklon</w:t>
      </w:r>
      <w:proofErr w:type="spellEnd"/>
      <w:r w:rsidRPr="00D24220">
        <w:rPr>
          <w:szCs w:val="22"/>
          <w:lang w:val="hu"/>
        </w:rPr>
        <w:t xml:space="preserve"> – nem alkalmazhatók a depresszió vagy a depresszióval összefüggő szorongás megfelelő kezelése nélkül (ilyen betegeknél ugyanis öngyilkosságot válthatnak ki). </w:t>
      </w:r>
    </w:p>
    <w:p w14:paraId="57DCE0CA" w14:textId="463ECE5C" w:rsidR="002C6743" w:rsidRPr="00D24220" w:rsidRDefault="002C6743" w:rsidP="00084F5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24220">
        <w:rPr>
          <w:szCs w:val="22"/>
          <w:lang w:val="hu"/>
        </w:rPr>
        <w:t xml:space="preserve">Ezek a rendellenességek </w:t>
      </w:r>
      <w:proofErr w:type="spellStart"/>
      <w:r w:rsidRPr="00D24220">
        <w:rPr>
          <w:szCs w:val="22"/>
          <w:lang w:val="hu"/>
        </w:rPr>
        <w:t>s</w:t>
      </w:r>
      <w:r w:rsidR="00D24220">
        <w:rPr>
          <w:szCs w:val="22"/>
          <w:lang w:val="hu"/>
        </w:rPr>
        <w:t>z</w:t>
      </w:r>
      <w:r w:rsidRPr="00D24220">
        <w:rPr>
          <w:szCs w:val="22"/>
          <w:lang w:val="hu"/>
        </w:rPr>
        <w:t>uicid</w:t>
      </w:r>
      <w:proofErr w:type="spellEnd"/>
      <w:r w:rsidRPr="00D24220">
        <w:rPr>
          <w:szCs w:val="22"/>
          <w:lang w:val="hu"/>
        </w:rPr>
        <w:t xml:space="preserve"> hajlamokkal társulhatnak, ezért ilyen betegeknek a lehető legkevesebb </w:t>
      </w:r>
      <w:proofErr w:type="spellStart"/>
      <w:r w:rsidRPr="00D24220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D24220">
        <w:rPr>
          <w:szCs w:val="22"/>
          <w:lang w:val="hu"/>
        </w:rPr>
        <w:t>zopiklont</w:t>
      </w:r>
      <w:proofErr w:type="spellEnd"/>
      <w:r w:rsidRPr="00D24220">
        <w:rPr>
          <w:szCs w:val="22"/>
          <w:lang w:val="hu"/>
        </w:rPr>
        <w:t xml:space="preserve"> kell adni, ugyanis fennáll a szándékos túladagolás </w:t>
      </w:r>
      <w:r w:rsidR="00D24220">
        <w:rPr>
          <w:szCs w:val="22"/>
          <w:lang w:val="hu"/>
        </w:rPr>
        <w:t>lehetősége</w:t>
      </w:r>
      <w:r w:rsidR="00D24220" w:rsidRPr="00D24220">
        <w:rPr>
          <w:szCs w:val="22"/>
          <w:lang w:val="hu"/>
        </w:rPr>
        <w:t xml:space="preserve"> </w:t>
      </w:r>
      <w:r w:rsidRPr="00D24220">
        <w:rPr>
          <w:szCs w:val="22"/>
          <w:lang w:val="hu"/>
        </w:rPr>
        <w:t xml:space="preserve">(lásd 5.1 pont). Az </w:t>
      </w:r>
      <w:proofErr w:type="spellStart"/>
      <w:r w:rsidRPr="00D24220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D24220">
        <w:rPr>
          <w:szCs w:val="22"/>
          <w:lang w:val="hu"/>
        </w:rPr>
        <w:t>zopiklon</w:t>
      </w:r>
      <w:proofErr w:type="spellEnd"/>
      <w:r w:rsidRPr="00D24220">
        <w:rPr>
          <w:szCs w:val="22"/>
          <w:lang w:val="hu"/>
        </w:rPr>
        <w:t xml:space="preserve"> alkalmazása során fény derülhet a már fennálló depresszióra.</w:t>
      </w:r>
    </w:p>
    <w:p w14:paraId="171505B8" w14:textId="77777777" w:rsidR="007D317B" w:rsidRPr="00635B03" w:rsidRDefault="007D317B" w:rsidP="00084F5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26D80CA" w14:textId="0FD58C18" w:rsidR="008D28AD" w:rsidRPr="00635B03" w:rsidRDefault="008D28AD" w:rsidP="008D28AD">
      <w:pPr>
        <w:rPr>
          <w:szCs w:val="22"/>
        </w:rPr>
      </w:pPr>
      <w:r w:rsidRPr="00635B03">
        <w:rPr>
          <w:szCs w:val="22"/>
          <w:lang w:val="hu"/>
        </w:rPr>
        <w:t xml:space="preserve">Több epidemiológiai vizsgálatban az öngyilkosságok és az öngyilkossági kísérletek számának emelkedését igazolták depresszióval érintett vagy nem érintett betegeknél, akiket </w:t>
      </w:r>
      <w:proofErr w:type="spellStart"/>
      <w:r w:rsidRPr="00635B03">
        <w:rPr>
          <w:szCs w:val="22"/>
          <w:lang w:val="hu"/>
        </w:rPr>
        <w:t>benzodiazepinekkel</w:t>
      </w:r>
      <w:proofErr w:type="spellEnd"/>
      <w:r w:rsidRPr="00635B03">
        <w:rPr>
          <w:szCs w:val="22"/>
          <w:lang w:val="hu"/>
        </w:rPr>
        <w:t xml:space="preserve"> vagy más altatókkal, például </w:t>
      </w:r>
      <w:proofErr w:type="spellStart"/>
      <w:r w:rsidRPr="00635B03">
        <w:rPr>
          <w:szCs w:val="22"/>
          <w:lang w:val="hu"/>
        </w:rPr>
        <w:t>zopiklonnal</w:t>
      </w:r>
      <w:proofErr w:type="spellEnd"/>
      <w:r w:rsidRPr="00635B03">
        <w:rPr>
          <w:szCs w:val="22"/>
          <w:lang w:val="hu"/>
        </w:rPr>
        <w:t xml:space="preserve"> kezeltek. Nem állapítottak meg ok-okozati összefüggést.</w:t>
      </w:r>
    </w:p>
    <w:p w14:paraId="45A3F85D" w14:textId="77777777" w:rsidR="00A56E9E" w:rsidRPr="00635B03" w:rsidRDefault="00A56E9E" w:rsidP="002C6743">
      <w:pPr>
        <w:tabs>
          <w:tab w:val="clear" w:pos="567"/>
          <w:tab w:val="left" w:pos="28"/>
        </w:tabs>
        <w:spacing w:line="240" w:lineRule="auto"/>
        <w:rPr>
          <w:szCs w:val="22"/>
        </w:rPr>
      </w:pPr>
    </w:p>
    <w:p w14:paraId="0ED4D77E" w14:textId="1BEB2868" w:rsidR="002C6743" w:rsidRPr="00635B03" w:rsidRDefault="002C6743" w:rsidP="002C6743">
      <w:pPr>
        <w:tabs>
          <w:tab w:val="clear" w:pos="567"/>
          <w:tab w:val="left" w:pos="28"/>
        </w:tabs>
        <w:spacing w:line="240" w:lineRule="auto"/>
        <w:rPr>
          <w:i/>
          <w:iCs/>
          <w:szCs w:val="22"/>
        </w:rPr>
      </w:pPr>
      <w:r w:rsidRPr="00635B03">
        <w:rPr>
          <w:i/>
          <w:iCs/>
          <w:szCs w:val="22"/>
          <w:lang w:val="hu"/>
        </w:rPr>
        <w:t>Alkohol-, kábítószer- és gyógyszerabúzus vagy -függőség</w:t>
      </w:r>
    </w:p>
    <w:p w14:paraId="165BC0F6" w14:textId="727F865F" w:rsidR="002C6743" w:rsidRPr="00635B03" w:rsidRDefault="007F4DC2" w:rsidP="002C6743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Az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</w:t>
      </w:r>
      <w:proofErr w:type="spellEnd"/>
      <w:r w:rsidRPr="00635B03">
        <w:rPr>
          <w:szCs w:val="22"/>
          <w:lang w:val="hu"/>
        </w:rPr>
        <w:t xml:space="preserve"> különösen óvatosan alkalmazandó olyan betegeknél, akiknél már előfordult vagy jelenleg is fennáll alkohol-, kábítószer- és/vagy gyógyszerabúzus vagy -függőség.</w:t>
      </w:r>
    </w:p>
    <w:p w14:paraId="59065C15" w14:textId="77777777" w:rsidR="002C6743" w:rsidRPr="00635B03" w:rsidRDefault="002C6743" w:rsidP="002C6743">
      <w:pPr>
        <w:tabs>
          <w:tab w:val="clear" w:pos="567"/>
          <w:tab w:val="left" w:pos="28"/>
        </w:tabs>
        <w:spacing w:line="240" w:lineRule="auto"/>
        <w:rPr>
          <w:szCs w:val="22"/>
        </w:rPr>
      </w:pPr>
    </w:p>
    <w:p w14:paraId="64076CBD" w14:textId="77777777" w:rsidR="002C6743" w:rsidRPr="00635B03" w:rsidRDefault="002C6743" w:rsidP="002C6743">
      <w:pPr>
        <w:tabs>
          <w:tab w:val="clear" w:pos="567"/>
          <w:tab w:val="left" w:pos="28"/>
        </w:tabs>
        <w:spacing w:line="240" w:lineRule="auto"/>
        <w:rPr>
          <w:i/>
          <w:iCs/>
          <w:szCs w:val="22"/>
        </w:rPr>
      </w:pPr>
      <w:r w:rsidRPr="00635B03">
        <w:rPr>
          <w:i/>
          <w:iCs/>
          <w:szCs w:val="22"/>
          <w:lang w:val="hu"/>
        </w:rPr>
        <w:t>Pszichiátriai és „paradox” reakciók</w:t>
      </w:r>
    </w:p>
    <w:p w14:paraId="0BE38A12" w14:textId="2152E5D9" w:rsidR="002C6743" w:rsidRPr="00D24220" w:rsidRDefault="002C6743" w:rsidP="002C6743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proofErr w:type="spellStart"/>
      <w:r w:rsidRPr="00635B03">
        <w:rPr>
          <w:szCs w:val="22"/>
          <w:lang w:val="hu"/>
        </w:rPr>
        <w:t>Benzodiazepinek</w:t>
      </w:r>
      <w:proofErr w:type="spellEnd"/>
      <w:r w:rsidRPr="00635B03">
        <w:rPr>
          <w:szCs w:val="22"/>
          <w:lang w:val="hu"/>
        </w:rPr>
        <w:t xml:space="preserve"> vagy </w:t>
      </w:r>
      <w:proofErr w:type="spellStart"/>
      <w:r w:rsidRPr="00635B03">
        <w:rPr>
          <w:szCs w:val="22"/>
          <w:lang w:val="hu"/>
        </w:rPr>
        <w:t>benzodiazepin</w:t>
      </w:r>
      <w:r w:rsidR="00D24220">
        <w:rPr>
          <w:szCs w:val="22"/>
          <w:lang w:val="hu"/>
        </w:rPr>
        <w:t>ekkel</w:t>
      </w:r>
      <w:proofErr w:type="spellEnd"/>
      <w:r w:rsidR="00D24220">
        <w:rPr>
          <w:szCs w:val="22"/>
          <w:lang w:val="hu"/>
        </w:rPr>
        <w:t xml:space="preserve"> rokon hatóanyagok</w:t>
      </w:r>
      <w:r w:rsidRPr="00D24220">
        <w:rPr>
          <w:szCs w:val="22"/>
          <w:lang w:val="hu"/>
        </w:rPr>
        <w:t xml:space="preserve"> alkalmazásakor olyan reakciók előfordulása ismert, mint a nyugtalanság, az álmatlanság súlyosbodása, izgatottság, ingerlékenység, agresszivitás, téveszme, dührohamok, rémálmok, </w:t>
      </w:r>
      <w:proofErr w:type="spellStart"/>
      <w:r w:rsidRPr="00D24220">
        <w:rPr>
          <w:szCs w:val="22"/>
          <w:lang w:val="hu"/>
        </w:rPr>
        <w:t>parasomnia</w:t>
      </w:r>
      <w:proofErr w:type="spellEnd"/>
      <w:r w:rsidRPr="00D24220">
        <w:rPr>
          <w:szCs w:val="22"/>
          <w:lang w:val="hu"/>
        </w:rPr>
        <w:t xml:space="preserve">, </w:t>
      </w:r>
      <w:proofErr w:type="spellStart"/>
      <w:r w:rsidRPr="00D24220">
        <w:rPr>
          <w:szCs w:val="22"/>
          <w:lang w:val="hu"/>
        </w:rPr>
        <w:t>depersonalisatio</w:t>
      </w:r>
      <w:proofErr w:type="spellEnd"/>
      <w:r w:rsidRPr="00D24220">
        <w:rPr>
          <w:szCs w:val="22"/>
          <w:lang w:val="hu"/>
        </w:rPr>
        <w:t xml:space="preserve">, hallucinációk, pszichózisok, helytelen viselkedés és a viselkedésre gyakorolt egyéb nemkívánatos hatások. Ezek lehetnek gyógyszer által kiváltottak, spontán eredetűek, illetve lappangó pszichiátriai vagy fizikális rendellenesség eredményeként is bekövetkezhetnek. Ezek a reakciók nagyobb valószínűséggel alakulnak ki időseknél. Bármilyen új viselkedési jelet vagy tünetet azonnal, gondosan ki kell vizsgálni és meg kell fontolni az </w:t>
      </w:r>
      <w:proofErr w:type="spellStart"/>
      <w:r w:rsidRPr="00D24220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D24220">
        <w:rPr>
          <w:szCs w:val="22"/>
          <w:lang w:val="hu"/>
        </w:rPr>
        <w:t>zopiklon</w:t>
      </w:r>
      <w:proofErr w:type="spellEnd"/>
      <w:r w:rsidRPr="00D24220">
        <w:rPr>
          <w:szCs w:val="22"/>
          <w:lang w:val="hu"/>
        </w:rPr>
        <w:t xml:space="preserve"> abbahagyását.</w:t>
      </w:r>
    </w:p>
    <w:p w14:paraId="33348E3C" w14:textId="77777777" w:rsidR="002C6743" w:rsidRPr="00635B03" w:rsidRDefault="002C6743" w:rsidP="002C6743">
      <w:pPr>
        <w:tabs>
          <w:tab w:val="clear" w:pos="567"/>
          <w:tab w:val="left" w:pos="28"/>
        </w:tabs>
        <w:spacing w:line="240" w:lineRule="auto"/>
        <w:rPr>
          <w:szCs w:val="22"/>
        </w:rPr>
      </w:pPr>
    </w:p>
    <w:p w14:paraId="3C8B93B1" w14:textId="4D777156" w:rsidR="00636483" w:rsidRPr="00635B03" w:rsidRDefault="00636483" w:rsidP="00AD3566">
      <w:pPr>
        <w:tabs>
          <w:tab w:val="clear" w:pos="567"/>
          <w:tab w:val="left" w:pos="28"/>
        </w:tabs>
        <w:spacing w:line="240" w:lineRule="auto"/>
        <w:rPr>
          <w:i/>
          <w:szCs w:val="22"/>
        </w:rPr>
      </w:pPr>
      <w:r w:rsidRPr="00635B03">
        <w:rPr>
          <w:i/>
          <w:iCs/>
          <w:szCs w:val="22"/>
          <w:lang w:val="hu"/>
        </w:rPr>
        <w:t>Alvajárás és azzal összefüggő viselkedések</w:t>
      </w:r>
    </w:p>
    <w:p w14:paraId="1996E099" w14:textId="044868B6" w:rsidR="00D748F6" w:rsidRPr="00635B03" w:rsidRDefault="00D748F6" w:rsidP="00AD3566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Alvajárásról és egyéb, azzal összefüggő viselkedésformákról, például „alva vezetésről”, étel készítéséről és elfogyasztásáról, telefonhívásról vagy szexuális együttlétről számoltak be (az eseményre kiterjedő amnéziával) olyan betegeknél, akik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zopiklont</w:t>
      </w:r>
      <w:proofErr w:type="spellEnd"/>
      <w:r w:rsidRPr="00635B03">
        <w:rPr>
          <w:szCs w:val="22"/>
          <w:lang w:val="hu"/>
        </w:rPr>
        <w:t xml:space="preserve"> vettek be és nem voltak teljesen ébren. </w:t>
      </w:r>
    </w:p>
    <w:p w14:paraId="4C32FA3D" w14:textId="63978085" w:rsidR="007D7286" w:rsidRPr="00635B03" w:rsidRDefault="00D748F6" w:rsidP="00AD3566">
      <w:pPr>
        <w:tabs>
          <w:tab w:val="clear" w:pos="567"/>
          <w:tab w:val="left" w:pos="28"/>
        </w:tabs>
        <w:spacing w:line="240" w:lineRule="auto"/>
        <w:rPr>
          <w:szCs w:val="22"/>
        </w:rPr>
      </w:pPr>
      <w:r w:rsidRPr="00635B03">
        <w:rPr>
          <w:szCs w:val="22"/>
          <w:lang w:val="hu"/>
        </w:rPr>
        <w:t>Úgy tűnik, hogy az alkohol és egyéb KIR-</w:t>
      </w:r>
      <w:proofErr w:type="spellStart"/>
      <w:r w:rsidRPr="00635B03">
        <w:rPr>
          <w:szCs w:val="22"/>
          <w:lang w:val="hu"/>
        </w:rPr>
        <w:t>depresszánsok</w:t>
      </w:r>
      <w:proofErr w:type="spellEnd"/>
      <w:r w:rsidRPr="00635B03">
        <w:rPr>
          <w:szCs w:val="22"/>
          <w:lang w:val="hu"/>
        </w:rPr>
        <w:t xml:space="preserve">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zopiklonnal</w:t>
      </w:r>
      <w:proofErr w:type="spellEnd"/>
      <w:r w:rsidRPr="00635B03">
        <w:rPr>
          <w:szCs w:val="22"/>
          <w:lang w:val="hu"/>
        </w:rPr>
        <w:t xml:space="preserve"> egyidejű alkalmazása, akárcsak az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zopiklonnak</w:t>
      </w:r>
      <w:proofErr w:type="spellEnd"/>
      <w:r w:rsidRPr="00635B03">
        <w:rPr>
          <w:szCs w:val="22"/>
          <w:lang w:val="hu"/>
        </w:rPr>
        <w:t xml:space="preserve"> a javasoltat meghaladó adagokban történő alkalmazása fokozza az ilyen viselkedések kockázatát. A beteget és másokat fenyegető kockázat miatt komolyan meg kell fontolni </w:t>
      </w:r>
      <w:r w:rsidRPr="00635B03">
        <w:rPr>
          <w:szCs w:val="22"/>
          <w:lang w:val="hu"/>
        </w:rPr>
        <w:lastRenderedPageBreak/>
        <w:t xml:space="preserve">az </w:t>
      </w:r>
      <w:proofErr w:type="spellStart"/>
      <w:r w:rsidRPr="00635B03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zopiklon</w:t>
      </w:r>
      <w:proofErr w:type="spellEnd"/>
      <w:r w:rsidRPr="00635B03">
        <w:rPr>
          <w:szCs w:val="22"/>
          <w:lang w:val="hu"/>
        </w:rPr>
        <w:t xml:space="preserve"> abbahagyását olyan betegeknél, akiknél ilyen viselkedésekről számolnak be (lásd 4.5 és 4.8 pont).</w:t>
      </w:r>
    </w:p>
    <w:p w14:paraId="403BDED1" w14:textId="77777777" w:rsidR="00977C24" w:rsidRPr="00635B03" w:rsidRDefault="00977C24" w:rsidP="008D4234">
      <w:pPr>
        <w:spacing w:line="240" w:lineRule="auto"/>
        <w:rPr>
          <w:szCs w:val="22"/>
        </w:rPr>
      </w:pPr>
    </w:p>
    <w:p w14:paraId="133C7672" w14:textId="285EBC45" w:rsidR="00C44DA4" w:rsidRPr="0082217D" w:rsidRDefault="000B073A" w:rsidP="008D4234">
      <w:pPr>
        <w:spacing w:line="240" w:lineRule="auto"/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 xml:space="preserve">Az </w:t>
      </w:r>
      <w:proofErr w:type="spellStart"/>
      <w:r w:rsidRPr="00643EF0">
        <w:rPr>
          <w:szCs w:val="22"/>
          <w:u w:val="single"/>
          <w:lang w:val="hu"/>
        </w:rPr>
        <w:t>Esogno</w:t>
      </w:r>
      <w:proofErr w:type="spellEnd"/>
      <w:r w:rsidRPr="00643EF0">
        <w:rPr>
          <w:szCs w:val="22"/>
          <w:u w:val="single"/>
          <w:lang w:val="hu"/>
        </w:rPr>
        <w:t xml:space="preserve"> </w:t>
      </w:r>
      <w:r w:rsidRPr="0082217D">
        <w:rPr>
          <w:szCs w:val="22"/>
          <w:u w:val="single"/>
          <w:lang w:val="hu"/>
        </w:rPr>
        <w:t>nátriumot tartalmaz</w:t>
      </w:r>
    </w:p>
    <w:p w14:paraId="63B4CDCD" w14:textId="3B95EF2E" w:rsidR="00BB443C" w:rsidRPr="00A2123E" w:rsidRDefault="002F0392" w:rsidP="00BD58D6">
      <w:pPr>
        <w:spacing w:line="240" w:lineRule="auto"/>
        <w:rPr>
          <w:szCs w:val="22"/>
        </w:rPr>
      </w:pPr>
      <w:r w:rsidRPr="00A2123E">
        <w:rPr>
          <w:szCs w:val="22"/>
          <w:lang w:val="hu"/>
        </w:rPr>
        <w:t>Ez a gyógyszer kevesebb mint 1 </w:t>
      </w:r>
      <w:proofErr w:type="spellStart"/>
      <w:r w:rsidRPr="00A2123E">
        <w:rPr>
          <w:szCs w:val="22"/>
          <w:lang w:val="hu"/>
        </w:rPr>
        <w:t>mmol</w:t>
      </w:r>
      <w:proofErr w:type="spellEnd"/>
      <w:r w:rsidRPr="00A2123E">
        <w:rPr>
          <w:szCs w:val="22"/>
          <w:lang w:val="hu"/>
        </w:rPr>
        <w:t xml:space="preserve"> (23 mg) nátriumot tartalmaz </w:t>
      </w:r>
      <w:proofErr w:type="spellStart"/>
      <w:r w:rsidR="00635B03">
        <w:rPr>
          <w:szCs w:val="22"/>
          <w:lang w:val="hu"/>
        </w:rPr>
        <w:t>film</w:t>
      </w:r>
      <w:r w:rsidRPr="00A2123E">
        <w:rPr>
          <w:szCs w:val="22"/>
          <w:lang w:val="hu"/>
        </w:rPr>
        <w:t>tablettánként</w:t>
      </w:r>
      <w:proofErr w:type="spellEnd"/>
      <w:r w:rsidRPr="00A2123E">
        <w:rPr>
          <w:szCs w:val="22"/>
          <w:lang w:val="hu"/>
        </w:rPr>
        <w:t>, azaz gyakorlatilag nátriummentes.</w:t>
      </w:r>
    </w:p>
    <w:p w14:paraId="62EED51D" w14:textId="77777777" w:rsidR="00041DA7" w:rsidRPr="007B3CA8" w:rsidRDefault="00041DA7" w:rsidP="008D4234">
      <w:pPr>
        <w:spacing w:line="240" w:lineRule="auto"/>
        <w:rPr>
          <w:szCs w:val="22"/>
        </w:rPr>
      </w:pPr>
    </w:p>
    <w:p w14:paraId="4E1504A7" w14:textId="7AC19C22" w:rsidR="001D29E6" w:rsidRPr="00D24220" w:rsidRDefault="001D29E6" w:rsidP="000244A6">
      <w:pPr>
        <w:pStyle w:val="Cmsor2"/>
        <w:rPr>
          <w:szCs w:val="22"/>
        </w:rPr>
      </w:pPr>
      <w:r w:rsidRPr="00D24220">
        <w:rPr>
          <w:bCs/>
          <w:szCs w:val="22"/>
          <w:lang w:val="hu"/>
        </w:rPr>
        <w:t>4.5</w:t>
      </w:r>
      <w:r w:rsidRPr="00D24220">
        <w:rPr>
          <w:bCs/>
          <w:szCs w:val="22"/>
          <w:lang w:val="hu"/>
        </w:rPr>
        <w:tab/>
        <w:t>Gyógyszerkölcsönhatások és egyéb interakciók</w:t>
      </w:r>
    </w:p>
    <w:p w14:paraId="708FC261" w14:textId="77777777" w:rsidR="009F3DD5" w:rsidRPr="00635B03" w:rsidRDefault="009F3DD5" w:rsidP="008D4234">
      <w:pPr>
        <w:spacing w:line="240" w:lineRule="auto"/>
        <w:rPr>
          <w:szCs w:val="22"/>
        </w:rPr>
      </w:pPr>
    </w:p>
    <w:p w14:paraId="69346741" w14:textId="613B5FE3" w:rsidR="002B6CA3" w:rsidRPr="0082217D" w:rsidRDefault="002B6CA3" w:rsidP="002B6CA3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 készítményt nem szabad alkohollal együtt bevenni, ugyanis az alkohol fokozhatja az </w:t>
      </w:r>
      <w:proofErr w:type="spellStart"/>
      <w:r w:rsidRPr="00635B03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35B03">
        <w:rPr>
          <w:szCs w:val="22"/>
          <w:lang w:val="hu"/>
        </w:rPr>
        <w:t>opiklon</w:t>
      </w:r>
      <w:proofErr w:type="spellEnd"/>
      <w:r w:rsidRPr="00635B03">
        <w:rPr>
          <w:szCs w:val="22"/>
          <w:lang w:val="hu"/>
        </w:rPr>
        <w:t xml:space="preserve"> </w:t>
      </w:r>
      <w:proofErr w:type="spellStart"/>
      <w:r w:rsidRPr="00635B03">
        <w:rPr>
          <w:szCs w:val="22"/>
          <w:lang w:val="hu"/>
        </w:rPr>
        <w:t>szedatív</w:t>
      </w:r>
      <w:proofErr w:type="spellEnd"/>
      <w:r w:rsidRPr="00635B03">
        <w:rPr>
          <w:szCs w:val="22"/>
          <w:lang w:val="hu"/>
        </w:rPr>
        <w:t xml:space="preserve"> hatását (lásd 4.7 pont). Egyéb központi idegrendszeri (KIR) </w:t>
      </w:r>
      <w:proofErr w:type="spellStart"/>
      <w:r w:rsidRPr="00635B03">
        <w:rPr>
          <w:szCs w:val="22"/>
          <w:lang w:val="hu"/>
        </w:rPr>
        <w:t>depresszánsokkal</w:t>
      </w:r>
      <w:proofErr w:type="spellEnd"/>
      <w:r w:rsidRPr="00635B03">
        <w:rPr>
          <w:szCs w:val="22"/>
          <w:lang w:val="hu"/>
        </w:rPr>
        <w:t xml:space="preserve"> (pl. </w:t>
      </w:r>
      <w:proofErr w:type="spellStart"/>
      <w:r w:rsidRPr="00635B03">
        <w:rPr>
          <w:szCs w:val="22"/>
          <w:lang w:val="hu"/>
        </w:rPr>
        <w:t>antipszichotikumokkal</w:t>
      </w:r>
      <w:proofErr w:type="spellEnd"/>
      <w:r w:rsidRPr="00635B03">
        <w:rPr>
          <w:szCs w:val="22"/>
          <w:lang w:val="hu"/>
        </w:rPr>
        <w:t xml:space="preserve">, </w:t>
      </w:r>
      <w:proofErr w:type="spellStart"/>
      <w:r w:rsidRPr="00635B03">
        <w:rPr>
          <w:szCs w:val="22"/>
          <w:lang w:val="hu"/>
        </w:rPr>
        <w:t>anxiolitikumokkal</w:t>
      </w:r>
      <w:proofErr w:type="spellEnd"/>
      <w:r w:rsidRPr="00635B03">
        <w:rPr>
          <w:szCs w:val="22"/>
          <w:lang w:val="hu"/>
        </w:rPr>
        <w:t xml:space="preserve">, </w:t>
      </w:r>
      <w:proofErr w:type="spellStart"/>
      <w:r w:rsidRPr="00635B03">
        <w:rPr>
          <w:szCs w:val="22"/>
          <w:lang w:val="hu"/>
        </w:rPr>
        <w:t>izomrelaxánsokkal</w:t>
      </w:r>
      <w:proofErr w:type="spellEnd"/>
      <w:r w:rsidRPr="00635B03">
        <w:rPr>
          <w:szCs w:val="22"/>
          <w:lang w:val="hu"/>
        </w:rPr>
        <w:t xml:space="preserve">, </w:t>
      </w:r>
      <w:proofErr w:type="spellStart"/>
      <w:r w:rsidRPr="00635B03">
        <w:rPr>
          <w:szCs w:val="22"/>
          <w:lang w:val="hu"/>
        </w:rPr>
        <w:t>antiepileptikumokkal</w:t>
      </w:r>
      <w:proofErr w:type="spellEnd"/>
      <w:r w:rsidRPr="00635B03">
        <w:rPr>
          <w:szCs w:val="22"/>
          <w:lang w:val="hu"/>
        </w:rPr>
        <w:t xml:space="preserve"> és </w:t>
      </w:r>
      <w:proofErr w:type="spellStart"/>
      <w:r w:rsidRPr="00635B03">
        <w:rPr>
          <w:szCs w:val="22"/>
          <w:lang w:val="hu"/>
        </w:rPr>
        <w:t>szedatív</w:t>
      </w:r>
      <w:proofErr w:type="spellEnd"/>
      <w:r w:rsidRPr="00635B03">
        <w:rPr>
          <w:szCs w:val="22"/>
          <w:lang w:val="hu"/>
        </w:rPr>
        <w:t xml:space="preserve"> hatású </w:t>
      </w:r>
      <w:proofErr w:type="spellStart"/>
      <w:r w:rsidRPr="00635B03">
        <w:rPr>
          <w:szCs w:val="22"/>
          <w:lang w:val="hu"/>
        </w:rPr>
        <w:t>antihisztaminokkal</w:t>
      </w:r>
      <w:proofErr w:type="spellEnd"/>
      <w:r w:rsidRPr="00635B03">
        <w:rPr>
          <w:szCs w:val="22"/>
          <w:lang w:val="hu"/>
        </w:rPr>
        <w:t xml:space="preserve">) kombinálva megnőhet a centrális </w:t>
      </w:r>
      <w:proofErr w:type="spellStart"/>
      <w:r w:rsidRPr="00635B03">
        <w:rPr>
          <w:szCs w:val="22"/>
          <w:lang w:val="hu"/>
        </w:rPr>
        <w:t>szedáció</w:t>
      </w:r>
      <w:proofErr w:type="spellEnd"/>
      <w:r w:rsidRPr="00635B03">
        <w:rPr>
          <w:szCs w:val="22"/>
          <w:lang w:val="hu"/>
        </w:rPr>
        <w:t xml:space="preserve"> mértéke.</w:t>
      </w:r>
      <w:r w:rsidR="00F36B18" w:rsidRPr="00635B03">
        <w:rPr>
          <w:szCs w:val="22"/>
          <w:lang w:val="hu"/>
        </w:rPr>
        <w:t xml:space="preserve"> </w:t>
      </w:r>
      <w:r w:rsidRPr="00643EF0">
        <w:rPr>
          <w:szCs w:val="22"/>
          <w:lang w:val="hu"/>
        </w:rPr>
        <w:t xml:space="preserve">Szükségessé válhat az </w:t>
      </w:r>
      <w:proofErr w:type="spellStart"/>
      <w:r w:rsidRPr="00643EF0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43EF0">
        <w:rPr>
          <w:szCs w:val="22"/>
          <w:lang w:val="hu"/>
        </w:rPr>
        <w:t>zopiklon</w:t>
      </w:r>
      <w:proofErr w:type="spellEnd"/>
      <w:r w:rsidRPr="00643EF0">
        <w:rPr>
          <w:szCs w:val="22"/>
          <w:lang w:val="hu"/>
        </w:rPr>
        <w:t xml:space="preserve"> adagjának csökkentése, amikor ismert KIR-</w:t>
      </w:r>
      <w:proofErr w:type="spellStart"/>
      <w:r w:rsidRPr="00643EF0">
        <w:rPr>
          <w:szCs w:val="22"/>
          <w:lang w:val="hu"/>
        </w:rPr>
        <w:t>depresszáns</w:t>
      </w:r>
      <w:proofErr w:type="spellEnd"/>
      <w:r w:rsidRPr="00643EF0">
        <w:rPr>
          <w:szCs w:val="22"/>
          <w:lang w:val="hu"/>
        </w:rPr>
        <w:t xml:space="preserve"> hatású gyógyszerekkel, például </w:t>
      </w:r>
      <w:proofErr w:type="spellStart"/>
      <w:r w:rsidRPr="00643EF0">
        <w:rPr>
          <w:szCs w:val="22"/>
          <w:lang w:val="hu"/>
        </w:rPr>
        <w:t>olanzapinnal</w:t>
      </w:r>
      <w:proofErr w:type="spellEnd"/>
      <w:r w:rsidRPr="00643EF0">
        <w:rPr>
          <w:szCs w:val="22"/>
          <w:lang w:val="hu"/>
        </w:rPr>
        <w:t xml:space="preserve"> egyidejűleg alkalmazzák.</w:t>
      </w:r>
    </w:p>
    <w:p w14:paraId="1A6A11BE" w14:textId="77777777" w:rsidR="002B6CA3" w:rsidRPr="00A2123E" w:rsidRDefault="002B6CA3" w:rsidP="002B6CA3">
      <w:pPr>
        <w:spacing w:line="240" w:lineRule="auto"/>
        <w:rPr>
          <w:szCs w:val="22"/>
        </w:rPr>
      </w:pPr>
    </w:p>
    <w:p w14:paraId="7237536D" w14:textId="2099C832" w:rsidR="001C7B14" w:rsidRPr="0082217D" w:rsidRDefault="002B6CA3" w:rsidP="001C7B14">
      <w:pPr>
        <w:spacing w:line="240" w:lineRule="auto"/>
        <w:rPr>
          <w:szCs w:val="22"/>
        </w:rPr>
      </w:pPr>
      <w:r w:rsidRPr="007B3CA8">
        <w:rPr>
          <w:szCs w:val="22"/>
          <w:lang w:val="hu"/>
        </w:rPr>
        <w:t xml:space="preserve">A CYP3A4 az </w:t>
      </w:r>
      <w:proofErr w:type="spellStart"/>
      <w:r w:rsidRPr="007B3CA8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7B3CA8">
        <w:rPr>
          <w:szCs w:val="22"/>
          <w:lang w:val="hu"/>
        </w:rPr>
        <w:t>opiklon</w:t>
      </w:r>
      <w:proofErr w:type="spellEnd"/>
      <w:r w:rsidRPr="007B3CA8">
        <w:rPr>
          <w:szCs w:val="22"/>
          <w:lang w:val="hu"/>
        </w:rPr>
        <w:t xml:space="preserve"> eliminációjában jelentős szerepet játszó útvonal, amelyhez másodlagosan a CYP2E1 is hozzájárul. Az </w:t>
      </w:r>
      <w:proofErr w:type="spellStart"/>
      <w:r w:rsidRPr="007B3CA8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7B3CA8">
        <w:rPr>
          <w:szCs w:val="22"/>
          <w:lang w:val="hu"/>
        </w:rPr>
        <w:t>opiklon</w:t>
      </w:r>
      <w:proofErr w:type="spellEnd"/>
      <w:r w:rsidRPr="007B3CA8">
        <w:rPr>
          <w:szCs w:val="22"/>
          <w:lang w:val="hu"/>
        </w:rPr>
        <w:t xml:space="preserve"> expozíciója körülbelül 2</w:t>
      </w:r>
      <w:r w:rsidRPr="007B3CA8">
        <w:rPr>
          <w:szCs w:val="22"/>
          <w:lang w:val="hu"/>
        </w:rPr>
        <w:noBreakHyphen/>
        <w:t xml:space="preserve">szeresére nőtt napi 400 mg </w:t>
      </w:r>
      <w:proofErr w:type="spellStart"/>
      <w:r w:rsidRPr="007B3CA8">
        <w:rPr>
          <w:szCs w:val="22"/>
          <w:lang w:val="hu"/>
        </w:rPr>
        <w:t>ketokonazol</w:t>
      </w:r>
      <w:proofErr w:type="spellEnd"/>
      <w:r w:rsidRPr="007B3CA8">
        <w:rPr>
          <w:szCs w:val="22"/>
          <w:lang w:val="hu"/>
        </w:rPr>
        <w:t xml:space="preserve"> (egy potens CYP3A4-gátló) 5 napon át tartó egyidejű alkalmazása révén. A többi po</w:t>
      </w:r>
      <w:r w:rsidRPr="00D24220">
        <w:rPr>
          <w:szCs w:val="22"/>
          <w:lang w:val="hu"/>
        </w:rPr>
        <w:t xml:space="preserve">tens CYP3A4-gátló (például egyéb </w:t>
      </w:r>
      <w:proofErr w:type="spellStart"/>
      <w:r w:rsidRPr="00D24220">
        <w:rPr>
          <w:szCs w:val="22"/>
          <w:lang w:val="hu"/>
        </w:rPr>
        <w:t>azol</w:t>
      </w:r>
      <w:proofErr w:type="spellEnd"/>
      <w:r w:rsidRPr="00D24220">
        <w:rPr>
          <w:szCs w:val="22"/>
          <w:lang w:val="hu"/>
        </w:rPr>
        <w:t xml:space="preserve"> </w:t>
      </w:r>
      <w:proofErr w:type="spellStart"/>
      <w:r w:rsidRPr="00D24220">
        <w:rPr>
          <w:szCs w:val="22"/>
          <w:lang w:val="hu"/>
        </w:rPr>
        <w:t>antimikotikumok</w:t>
      </w:r>
      <w:proofErr w:type="spellEnd"/>
      <w:r w:rsidRPr="00D24220">
        <w:rPr>
          <w:szCs w:val="22"/>
          <w:lang w:val="hu"/>
        </w:rPr>
        <w:t xml:space="preserve">, </w:t>
      </w:r>
      <w:proofErr w:type="spellStart"/>
      <w:r w:rsidRPr="00D24220">
        <w:rPr>
          <w:szCs w:val="22"/>
          <w:lang w:val="hu"/>
        </w:rPr>
        <w:t>makrolid</w:t>
      </w:r>
      <w:proofErr w:type="spellEnd"/>
      <w:r w:rsidRPr="00D24220">
        <w:rPr>
          <w:szCs w:val="22"/>
          <w:lang w:val="hu"/>
        </w:rPr>
        <w:t xml:space="preserve"> antibiotikumok, grépfrútlé) várhatólag hasonlóan viselkedik. Ennek eredményeként megnőhet az </w:t>
      </w:r>
      <w:proofErr w:type="spellStart"/>
      <w:r w:rsidRPr="00D24220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D24220">
        <w:rPr>
          <w:szCs w:val="22"/>
          <w:lang w:val="hu"/>
        </w:rPr>
        <w:t>opiklon</w:t>
      </w:r>
      <w:proofErr w:type="spellEnd"/>
      <w:r w:rsidRPr="00D24220">
        <w:rPr>
          <w:szCs w:val="22"/>
          <w:lang w:val="hu"/>
        </w:rPr>
        <w:t xml:space="preserve"> altató hatása (lásd 4.4 pont). Szükségessé válhat az </w:t>
      </w:r>
      <w:proofErr w:type="spellStart"/>
      <w:r w:rsidRPr="00D24220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D24220">
        <w:rPr>
          <w:szCs w:val="22"/>
          <w:lang w:val="hu"/>
        </w:rPr>
        <w:t>opiklon</w:t>
      </w:r>
      <w:proofErr w:type="spellEnd"/>
      <w:r w:rsidRPr="00D24220">
        <w:rPr>
          <w:szCs w:val="22"/>
          <w:lang w:val="hu"/>
        </w:rPr>
        <w:t xml:space="preserve"> adagjának csökkentése, amikor ismert CYP3A4-gátlókkal egyidejűleg alkalmazzák (lásd 4.2 pont). </w:t>
      </w:r>
      <w:r w:rsidRPr="00643EF0">
        <w:rPr>
          <w:szCs w:val="22"/>
          <w:lang w:val="hu"/>
        </w:rPr>
        <w:t xml:space="preserve">Az </w:t>
      </w:r>
      <w:proofErr w:type="spellStart"/>
      <w:r w:rsidRPr="00643EF0">
        <w:rPr>
          <w:szCs w:val="22"/>
          <w:lang w:val="hu"/>
        </w:rPr>
        <w:t>esz</w:t>
      </w:r>
      <w:r w:rsidR="007040EF">
        <w:rPr>
          <w:szCs w:val="22"/>
          <w:lang w:val="hu"/>
        </w:rPr>
        <w:t>z</w:t>
      </w:r>
      <w:r w:rsidRPr="00643EF0">
        <w:rPr>
          <w:szCs w:val="22"/>
          <w:lang w:val="hu"/>
        </w:rPr>
        <w:t>opiklon</w:t>
      </w:r>
      <w:proofErr w:type="spellEnd"/>
      <w:r w:rsidRPr="00643EF0">
        <w:rPr>
          <w:szCs w:val="22"/>
          <w:lang w:val="hu"/>
        </w:rPr>
        <w:t xml:space="preserve"> ellenjavallt azoknál az idős betegeknél, akik egyidejűleg potens CYP3A4-gátlókat is kapnak (lásd 4.3 pont).</w:t>
      </w:r>
    </w:p>
    <w:p w14:paraId="4F887FA6" w14:textId="46A1E687" w:rsidR="002B6CA3" w:rsidRPr="00643EF0" w:rsidRDefault="002B6CA3" w:rsidP="00053137">
      <w:pPr>
        <w:spacing w:line="240" w:lineRule="auto"/>
        <w:rPr>
          <w:szCs w:val="22"/>
        </w:rPr>
      </w:pPr>
      <w:r w:rsidRPr="00A2123E">
        <w:rPr>
          <w:szCs w:val="22"/>
          <w:lang w:val="hu"/>
        </w:rPr>
        <w:t xml:space="preserve">A </w:t>
      </w:r>
      <w:proofErr w:type="spellStart"/>
      <w:r w:rsidRPr="00A2123E">
        <w:rPr>
          <w:szCs w:val="22"/>
          <w:lang w:val="hu"/>
        </w:rPr>
        <w:t>racém</w:t>
      </w:r>
      <w:proofErr w:type="spellEnd"/>
      <w:r w:rsidRPr="00A2123E">
        <w:rPr>
          <w:szCs w:val="22"/>
          <w:lang w:val="hu"/>
        </w:rPr>
        <w:t xml:space="preserve"> </w:t>
      </w:r>
      <w:proofErr w:type="spellStart"/>
      <w:r w:rsidRPr="00A2123E">
        <w:rPr>
          <w:szCs w:val="22"/>
          <w:lang w:val="hu"/>
        </w:rPr>
        <w:t>zopiklon</w:t>
      </w:r>
      <w:proofErr w:type="spellEnd"/>
      <w:r w:rsidRPr="00A2123E">
        <w:rPr>
          <w:szCs w:val="22"/>
          <w:lang w:val="hu"/>
        </w:rPr>
        <w:t xml:space="preserve"> expozícióját 80%-kal csökkentette a </w:t>
      </w:r>
      <w:proofErr w:type="spellStart"/>
      <w:r w:rsidRPr="00A2123E">
        <w:rPr>
          <w:szCs w:val="22"/>
          <w:lang w:val="hu"/>
        </w:rPr>
        <w:t>rifampicin</w:t>
      </w:r>
      <w:proofErr w:type="spellEnd"/>
      <w:r w:rsidRPr="00A2123E">
        <w:rPr>
          <w:szCs w:val="22"/>
          <w:lang w:val="hu"/>
        </w:rPr>
        <w:t xml:space="preserve"> (egy potens CYP3A4-induktor) egyidejű alkalmazása. Hasonló hatásra lehet számítani </w:t>
      </w:r>
      <w:proofErr w:type="spellStart"/>
      <w:r w:rsidRPr="00A2123E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A2123E">
        <w:rPr>
          <w:szCs w:val="22"/>
          <w:lang w:val="hu"/>
        </w:rPr>
        <w:t>zopiklonnal</w:t>
      </w:r>
      <w:proofErr w:type="spellEnd"/>
      <w:r w:rsidRPr="00A2123E">
        <w:rPr>
          <w:szCs w:val="22"/>
          <w:lang w:val="hu"/>
        </w:rPr>
        <w:t xml:space="preserve"> és együttesen alkalmazott </w:t>
      </w:r>
      <w:r w:rsidRPr="00643EF0">
        <w:rPr>
          <w:szCs w:val="22"/>
          <w:lang w:val="hu"/>
        </w:rPr>
        <w:t xml:space="preserve">erős </w:t>
      </w:r>
      <w:proofErr w:type="spellStart"/>
      <w:r w:rsidRPr="00643EF0">
        <w:rPr>
          <w:szCs w:val="22"/>
          <w:lang w:val="hu"/>
        </w:rPr>
        <w:t>citokróm</w:t>
      </w:r>
      <w:proofErr w:type="spellEnd"/>
      <w:r w:rsidRPr="00643EF0">
        <w:rPr>
          <w:szCs w:val="22"/>
          <w:lang w:val="hu"/>
        </w:rPr>
        <w:t xml:space="preserve"> P450-enziminduktorokkal, például </w:t>
      </w:r>
      <w:proofErr w:type="spellStart"/>
      <w:r w:rsidRPr="00643EF0">
        <w:rPr>
          <w:szCs w:val="22"/>
          <w:lang w:val="hu"/>
        </w:rPr>
        <w:t>karbamazepinnel</w:t>
      </w:r>
      <w:proofErr w:type="spellEnd"/>
      <w:r w:rsidRPr="00643EF0">
        <w:rPr>
          <w:szCs w:val="22"/>
          <w:lang w:val="hu"/>
        </w:rPr>
        <w:t xml:space="preserve">, </w:t>
      </w:r>
      <w:proofErr w:type="spellStart"/>
      <w:r w:rsidRPr="00643EF0">
        <w:rPr>
          <w:szCs w:val="22"/>
          <w:lang w:val="hu"/>
        </w:rPr>
        <w:t>fenitoinnal</w:t>
      </w:r>
      <w:proofErr w:type="spellEnd"/>
      <w:r w:rsidRPr="00643EF0">
        <w:rPr>
          <w:szCs w:val="22"/>
          <w:lang w:val="hu"/>
        </w:rPr>
        <w:t xml:space="preserve"> és </w:t>
      </w:r>
      <w:r w:rsidR="00524F03">
        <w:rPr>
          <w:szCs w:val="22"/>
          <w:lang w:val="hu"/>
        </w:rPr>
        <w:t xml:space="preserve">közönséges </w:t>
      </w:r>
      <w:r w:rsidRPr="00643EF0">
        <w:rPr>
          <w:szCs w:val="22"/>
          <w:lang w:val="hu"/>
        </w:rPr>
        <w:t>orbáncfűvel</w:t>
      </w:r>
      <w:r w:rsidRPr="0082217D">
        <w:rPr>
          <w:szCs w:val="22"/>
          <w:lang w:val="hu"/>
        </w:rPr>
        <w:t>.</w:t>
      </w:r>
      <w:r w:rsidRPr="00770FF1">
        <w:rPr>
          <w:i/>
          <w:iCs/>
          <w:szCs w:val="22"/>
          <w:lang w:val="hu"/>
        </w:rPr>
        <w:t xml:space="preserve"> </w:t>
      </w:r>
    </w:p>
    <w:p w14:paraId="4295D14E" w14:textId="77777777" w:rsidR="002B6CA3" w:rsidRPr="006A27D8" w:rsidRDefault="002B6CA3" w:rsidP="002B6CA3">
      <w:pPr>
        <w:spacing w:line="240" w:lineRule="auto"/>
        <w:rPr>
          <w:szCs w:val="22"/>
        </w:rPr>
      </w:pPr>
    </w:p>
    <w:p w14:paraId="088B7A8D" w14:textId="4C15A401" w:rsidR="002B6CA3" w:rsidRPr="0082217D" w:rsidRDefault="002B6CA3" w:rsidP="002B6CA3">
      <w:pPr>
        <w:spacing w:line="240" w:lineRule="auto"/>
        <w:rPr>
          <w:szCs w:val="22"/>
        </w:rPr>
      </w:pPr>
      <w:r w:rsidRPr="0082217D">
        <w:rPr>
          <w:szCs w:val="22"/>
          <w:lang w:val="hu"/>
        </w:rPr>
        <w:t xml:space="preserve">Az </w:t>
      </w:r>
      <w:proofErr w:type="spellStart"/>
      <w:r w:rsidRPr="0082217D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82217D">
        <w:rPr>
          <w:szCs w:val="22"/>
          <w:lang w:val="hu"/>
        </w:rPr>
        <w:t>zopiklon</w:t>
      </w:r>
      <w:proofErr w:type="spellEnd"/>
      <w:r w:rsidRPr="0082217D">
        <w:rPr>
          <w:szCs w:val="22"/>
          <w:lang w:val="hu"/>
        </w:rPr>
        <w:t xml:space="preserve"> nem befolyásolta a </w:t>
      </w:r>
      <w:proofErr w:type="spellStart"/>
      <w:r w:rsidRPr="0082217D">
        <w:rPr>
          <w:szCs w:val="22"/>
          <w:lang w:val="hu"/>
        </w:rPr>
        <w:t>paroxetin</w:t>
      </w:r>
      <w:proofErr w:type="spellEnd"/>
      <w:r w:rsidRPr="0082217D">
        <w:rPr>
          <w:szCs w:val="22"/>
          <w:lang w:val="hu"/>
        </w:rPr>
        <w:t xml:space="preserve">, a </w:t>
      </w:r>
      <w:proofErr w:type="spellStart"/>
      <w:r w:rsidRPr="0082217D">
        <w:rPr>
          <w:szCs w:val="22"/>
          <w:lang w:val="hu"/>
        </w:rPr>
        <w:t>digoxin</w:t>
      </w:r>
      <w:proofErr w:type="spellEnd"/>
      <w:r w:rsidRPr="0082217D">
        <w:rPr>
          <w:szCs w:val="22"/>
          <w:lang w:val="hu"/>
        </w:rPr>
        <w:t xml:space="preserve">, a </w:t>
      </w:r>
      <w:proofErr w:type="spellStart"/>
      <w:r w:rsidRPr="0082217D">
        <w:rPr>
          <w:szCs w:val="22"/>
          <w:lang w:val="hu"/>
        </w:rPr>
        <w:t>warfarin</w:t>
      </w:r>
      <w:proofErr w:type="spellEnd"/>
      <w:r w:rsidRPr="0082217D">
        <w:rPr>
          <w:szCs w:val="22"/>
          <w:lang w:val="hu"/>
        </w:rPr>
        <w:t xml:space="preserve"> </w:t>
      </w:r>
      <w:proofErr w:type="spellStart"/>
      <w:r w:rsidRPr="0082217D">
        <w:rPr>
          <w:szCs w:val="22"/>
          <w:lang w:val="hu"/>
        </w:rPr>
        <w:t>farmakokinetikai</w:t>
      </w:r>
      <w:proofErr w:type="spellEnd"/>
      <w:r w:rsidRPr="0082217D">
        <w:rPr>
          <w:szCs w:val="22"/>
          <w:lang w:val="hu"/>
        </w:rPr>
        <w:t xml:space="preserve"> vagy </w:t>
      </w:r>
      <w:proofErr w:type="spellStart"/>
      <w:r w:rsidRPr="0082217D">
        <w:rPr>
          <w:szCs w:val="22"/>
          <w:lang w:val="hu"/>
        </w:rPr>
        <w:t>farmakodinámiás</w:t>
      </w:r>
      <w:proofErr w:type="spellEnd"/>
      <w:r w:rsidRPr="0082217D">
        <w:rPr>
          <w:szCs w:val="22"/>
          <w:lang w:val="hu"/>
        </w:rPr>
        <w:t xml:space="preserve"> profilját, illetve a </w:t>
      </w:r>
      <w:proofErr w:type="spellStart"/>
      <w:r w:rsidRPr="0082217D">
        <w:rPr>
          <w:szCs w:val="22"/>
          <w:lang w:val="hu"/>
        </w:rPr>
        <w:t>lorazepám</w:t>
      </w:r>
      <w:proofErr w:type="spellEnd"/>
      <w:r w:rsidRPr="0082217D">
        <w:rPr>
          <w:szCs w:val="22"/>
          <w:lang w:val="hu"/>
        </w:rPr>
        <w:t xml:space="preserve"> </w:t>
      </w:r>
      <w:proofErr w:type="spellStart"/>
      <w:r w:rsidRPr="0082217D">
        <w:rPr>
          <w:szCs w:val="22"/>
          <w:lang w:val="hu"/>
        </w:rPr>
        <w:t>farmakodinámiás</w:t>
      </w:r>
      <w:proofErr w:type="spellEnd"/>
      <w:r w:rsidRPr="0082217D">
        <w:rPr>
          <w:szCs w:val="22"/>
          <w:lang w:val="hu"/>
        </w:rPr>
        <w:t xml:space="preserve"> profilját.</w:t>
      </w:r>
    </w:p>
    <w:p w14:paraId="69E92533" w14:textId="77777777" w:rsidR="002B6CA3" w:rsidRPr="00A2123E" w:rsidRDefault="002B6CA3" w:rsidP="002B6CA3">
      <w:pPr>
        <w:spacing w:line="240" w:lineRule="auto"/>
        <w:rPr>
          <w:szCs w:val="22"/>
        </w:rPr>
      </w:pPr>
    </w:p>
    <w:p w14:paraId="3044F549" w14:textId="72D07EAD" w:rsidR="002B6CA3" w:rsidRPr="00D24220" w:rsidRDefault="002B6CA3" w:rsidP="002B6CA3">
      <w:pPr>
        <w:spacing w:line="240" w:lineRule="auto"/>
        <w:rPr>
          <w:szCs w:val="22"/>
        </w:rPr>
      </w:pPr>
      <w:r w:rsidRPr="007B3CA8">
        <w:rPr>
          <w:szCs w:val="22"/>
          <w:lang w:val="hu"/>
        </w:rPr>
        <w:t xml:space="preserve">Hangulatzavaros betegeknél az </w:t>
      </w:r>
      <w:proofErr w:type="spellStart"/>
      <w:r w:rsidRPr="007B3CA8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7B3CA8">
        <w:rPr>
          <w:szCs w:val="22"/>
          <w:lang w:val="hu"/>
        </w:rPr>
        <w:t>zopiklon</w:t>
      </w:r>
      <w:proofErr w:type="spellEnd"/>
      <w:r w:rsidRPr="007B3CA8">
        <w:rPr>
          <w:szCs w:val="22"/>
          <w:lang w:val="hu"/>
        </w:rPr>
        <w:t xml:space="preserve"> </w:t>
      </w:r>
      <w:proofErr w:type="spellStart"/>
      <w:r w:rsidRPr="007B3CA8">
        <w:rPr>
          <w:szCs w:val="22"/>
          <w:lang w:val="hu"/>
        </w:rPr>
        <w:t>fluoxetinnel</w:t>
      </w:r>
      <w:proofErr w:type="spellEnd"/>
      <w:r w:rsidRPr="007B3CA8">
        <w:rPr>
          <w:szCs w:val="22"/>
          <w:lang w:val="hu"/>
        </w:rPr>
        <w:t xml:space="preserve"> vagy </w:t>
      </w:r>
      <w:proofErr w:type="spellStart"/>
      <w:r w:rsidRPr="007B3CA8">
        <w:rPr>
          <w:szCs w:val="22"/>
          <w:lang w:val="hu"/>
        </w:rPr>
        <w:t>eszcitaloprámmal</w:t>
      </w:r>
      <w:proofErr w:type="spellEnd"/>
      <w:r w:rsidRPr="007B3CA8">
        <w:rPr>
          <w:szCs w:val="22"/>
          <w:lang w:val="hu"/>
        </w:rPr>
        <w:t xml:space="preserve"> való egyidejű alkalmazása nem befolyásolta kedvezőtlenül sem az </w:t>
      </w:r>
      <w:proofErr w:type="spellStart"/>
      <w:r w:rsidRPr="007B3CA8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7B3CA8">
        <w:rPr>
          <w:szCs w:val="22"/>
          <w:lang w:val="hu"/>
        </w:rPr>
        <w:t>zopiklon</w:t>
      </w:r>
      <w:proofErr w:type="spellEnd"/>
      <w:r w:rsidRPr="007B3CA8">
        <w:rPr>
          <w:szCs w:val="22"/>
          <w:lang w:val="hu"/>
        </w:rPr>
        <w:t xml:space="preserve">, sem az antidepresszáns gyógyszer </w:t>
      </w:r>
      <w:proofErr w:type="spellStart"/>
      <w:r w:rsidRPr="007B3CA8">
        <w:rPr>
          <w:szCs w:val="22"/>
          <w:lang w:val="hu"/>
        </w:rPr>
        <w:t>farmakodinámiás</w:t>
      </w:r>
      <w:proofErr w:type="spellEnd"/>
      <w:r w:rsidRPr="007B3CA8">
        <w:rPr>
          <w:szCs w:val="22"/>
          <w:lang w:val="hu"/>
        </w:rPr>
        <w:t xml:space="preserve"> profilját (lásd 5.1 pont). </w:t>
      </w:r>
    </w:p>
    <w:p w14:paraId="6082D09A" w14:textId="77777777" w:rsidR="002B6CA3" w:rsidRPr="00635B03" w:rsidRDefault="002B6CA3" w:rsidP="002B6CA3">
      <w:pPr>
        <w:spacing w:line="240" w:lineRule="auto"/>
        <w:rPr>
          <w:szCs w:val="22"/>
        </w:rPr>
      </w:pPr>
    </w:p>
    <w:p w14:paraId="1589910B" w14:textId="1A49D9C7" w:rsidR="002B6CA3" w:rsidRPr="00635B03" w:rsidRDefault="002B6CA3" w:rsidP="002B6CA3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A </w:t>
      </w:r>
      <w:proofErr w:type="spellStart"/>
      <w:r w:rsidRPr="00635B03">
        <w:rPr>
          <w:szCs w:val="22"/>
          <w:lang w:val="hu"/>
        </w:rPr>
        <w:t>benzodiazepinek</w:t>
      </w:r>
      <w:proofErr w:type="spellEnd"/>
      <w:r w:rsidRPr="00635B03">
        <w:rPr>
          <w:szCs w:val="22"/>
          <w:lang w:val="hu"/>
        </w:rPr>
        <w:t xml:space="preserve"> vagy </w:t>
      </w:r>
      <w:proofErr w:type="spellStart"/>
      <w:r w:rsidRPr="00635B03">
        <w:rPr>
          <w:szCs w:val="22"/>
          <w:lang w:val="hu"/>
        </w:rPr>
        <w:t>benzodiazepin</w:t>
      </w:r>
      <w:r w:rsidR="00524F03">
        <w:rPr>
          <w:szCs w:val="22"/>
          <w:lang w:val="hu"/>
        </w:rPr>
        <w:t>nel</w:t>
      </w:r>
      <w:proofErr w:type="spellEnd"/>
      <w:r w:rsidR="00524F03">
        <w:rPr>
          <w:szCs w:val="22"/>
          <w:lang w:val="hu"/>
        </w:rPr>
        <w:t xml:space="preserve"> rokon ható</w:t>
      </w:r>
      <w:r w:rsidRPr="00635B03">
        <w:rPr>
          <w:szCs w:val="22"/>
          <w:lang w:val="hu"/>
        </w:rPr>
        <w:t>anyagok és a kábító fájdalomcsillapítók egyidejű alkalmazása fokozhatja azok eufóriás hatását és a fizikai függőség fokozódásához vezethet.</w:t>
      </w:r>
    </w:p>
    <w:p w14:paraId="75A4934D" w14:textId="0913A205" w:rsidR="00EF5E3C" w:rsidRDefault="00EF5E3C" w:rsidP="008D4234">
      <w:pPr>
        <w:spacing w:line="240" w:lineRule="auto"/>
        <w:rPr>
          <w:szCs w:val="22"/>
        </w:rPr>
      </w:pPr>
    </w:p>
    <w:p w14:paraId="4DA953C3" w14:textId="554E6C8C" w:rsidR="00524F03" w:rsidRPr="00770FF1" w:rsidRDefault="00524F03" w:rsidP="00524F03">
      <w:pPr>
        <w:widowControl w:val="0"/>
        <w:autoSpaceDE w:val="0"/>
        <w:autoSpaceDN w:val="0"/>
        <w:rPr>
          <w:i/>
          <w:snapToGrid w:val="0"/>
          <w:szCs w:val="22"/>
          <w:lang w:eastAsia="hu-HU"/>
        </w:rPr>
      </w:pPr>
      <w:proofErr w:type="spellStart"/>
      <w:r w:rsidRPr="00524F03">
        <w:rPr>
          <w:i/>
          <w:snapToGrid w:val="0"/>
          <w:szCs w:val="22"/>
          <w:lang w:eastAsia="hu-HU"/>
        </w:rPr>
        <w:t>Opioidok</w:t>
      </w:r>
      <w:proofErr w:type="spellEnd"/>
    </w:p>
    <w:p w14:paraId="73FF346E" w14:textId="4398AD0E" w:rsidR="00524F03" w:rsidRPr="00061C57" w:rsidRDefault="00524F03" w:rsidP="00524F03">
      <w:pPr>
        <w:autoSpaceDE w:val="0"/>
        <w:autoSpaceDN w:val="0"/>
        <w:rPr>
          <w:szCs w:val="22"/>
          <w:lang w:eastAsia="hu-HU"/>
        </w:rPr>
      </w:pPr>
      <w:proofErr w:type="spellStart"/>
      <w:r w:rsidRPr="00B43731">
        <w:rPr>
          <w:szCs w:val="22"/>
        </w:rPr>
        <w:t>Szedatív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gyógyszerek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például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benzodiazepinek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vagy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benzodiazepinnel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rokon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gyógyszerek</w:t>
      </w:r>
      <w:proofErr w:type="spellEnd"/>
      <w:r w:rsidRPr="00B43731">
        <w:rPr>
          <w:szCs w:val="22"/>
        </w:rPr>
        <w:t xml:space="preserve">, mint </w:t>
      </w:r>
      <w:proofErr w:type="spellStart"/>
      <w:r w:rsidRPr="00B43731">
        <w:rPr>
          <w:szCs w:val="22"/>
        </w:rPr>
        <w:t>az</w:t>
      </w:r>
      <w:proofErr w:type="spellEnd"/>
      <w:r w:rsidRPr="00B43731">
        <w:rPr>
          <w:szCs w:val="22"/>
        </w:rPr>
        <w:t xml:space="preserve"> </w:t>
      </w:r>
      <w:proofErr w:type="spellStart"/>
      <w:r>
        <w:rPr>
          <w:szCs w:val="22"/>
        </w:rPr>
        <w:t>es</w:t>
      </w:r>
      <w:r w:rsidR="007040EF">
        <w:rPr>
          <w:szCs w:val="22"/>
        </w:rPr>
        <w:t>z</w:t>
      </w:r>
      <w:r>
        <w:rPr>
          <w:szCs w:val="22"/>
        </w:rPr>
        <w:t>zopiklon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opioidokkal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történő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együttadása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növeli</w:t>
      </w:r>
      <w:proofErr w:type="spellEnd"/>
      <w:r w:rsidRPr="00B43731">
        <w:rPr>
          <w:szCs w:val="22"/>
        </w:rPr>
        <w:t xml:space="preserve"> a </w:t>
      </w:r>
      <w:proofErr w:type="spellStart"/>
      <w:r w:rsidRPr="00B43731">
        <w:rPr>
          <w:szCs w:val="22"/>
        </w:rPr>
        <w:t>szedáció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légzésdepresszió</w:t>
      </w:r>
      <w:proofErr w:type="spellEnd"/>
      <w:r w:rsidRPr="00B43731">
        <w:rPr>
          <w:szCs w:val="22"/>
        </w:rPr>
        <w:t xml:space="preserve">, </w:t>
      </w:r>
      <w:proofErr w:type="spellStart"/>
      <w:r w:rsidRPr="00B43731">
        <w:rPr>
          <w:szCs w:val="22"/>
        </w:rPr>
        <w:t>kóma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és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halál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kockázatát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az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additív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központi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idegrendszeri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depresszív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hatás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miatt</w:t>
      </w:r>
      <w:proofErr w:type="spellEnd"/>
      <w:r w:rsidRPr="00B43731">
        <w:rPr>
          <w:szCs w:val="22"/>
        </w:rPr>
        <w:t xml:space="preserve">. </w:t>
      </w:r>
      <w:proofErr w:type="spellStart"/>
      <w:r w:rsidRPr="00B43731">
        <w:rPr>
          <w:szCs w:val="22"/>
          <w:lang w:eastAsia="hu-HU"/>
        </w:rPr>
        <w:t>Korlátozni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kell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az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egyidejű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alkalmazás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dózisát</w:t>
      </w:r>
      <w:proofErr w:type="spellEnd"/>
      <w:r w:rsidRPr="00B43731">
        <w:rPr>
          <w:szCs w:val="22"/>
          <w:lang w:eastAsia="hu-HU"/>
        </w:rPr>
        <w:t xml:space="preserve"> </w:t>
      </w:r>
      <w:proofErr w:type="spellStart"/>
      <w:r w:rsidRPr="00B43731">
        <w:rPr>
          <w:szCs w:val="22"/>
          <w:lang w:eastAsia="hu-HU"/>
        </w:rPr>
        <w:t>és</w:t>
      </w:r>
      <w:proofErr w:type="spellEnd"/>
      <w:r w:rsidRPr="00B43731">
        <w:rPr>
          <w:szCs w:val="22"/>
          <w:lang w:eastAsia="hu-HU"/>
        </w:rPr>
        <w:t xml:space="preserve"> </w:t>
      </w:r>
      <w:r w:rsidRPr="00B43731">
        <w:rPr>
          <w:szCs w:val="22"/>
        </w:rPr>
        <w:t xml:space="preserve">a </w:t>
      </w:r>
      <w:proofErr w:type="spellStart"/>
      <w:r w:rsidRPr="00B43731">
        <w:rPr>
          <w:szCs w:val="22"/>
        </w:rPr>
        <w:t>kezelés</w:t>
      </w:r>
      <w:proofErr w:type="spellEnd"/>
      <w:r w:rsidRPr="00B43731">
        <w:rPr>
          <w:szCs w:val="22"/>
        </w:rPr>
        <w:t xml:space="preserve"> </w:t>
      </w:r>
      <w:proofErr w:type="spellStart"/>
      <w:r w:rsidRPr="00B43731">
        <w:rPr>
          <w:szCs w:val="22"/>
        </w:rPr>
        <w:t>időtartamát</w:t>
      </w:r>
      <w:proofErr w:type="spellEnd"/>
      <w:r w:rsidRPr="00B43731">
        <w:rPr>
          <w:szCs w:val="22"/>
        </w:rPr>
        <w:t xml:space="preserve"> </w:t>
      </w:r>
      <w:r w:rsidRPr="00B43731">
        <w:rPr>
          <w:szCs w:val="22"/>
          <w:lang w:eastAsia="hu-HU"/>
        </w:rPr>
        <w:t>(</w:t>
      </w:r>
      <w:proofErr w:type="spellStart"/>
      <w:r w:rsidRPr="00B43731">
        <w:rPr>
          <w:szCs w:val="22"/>
          <w:lang w:eastAsia="hu-HU"/>
        </w:rPr>
        <w:t>lásd</w:t>
      </w:r>
      <w:proofErr w:type="spellEnd"/>
      <w:r w:rsidRPr="00B43731">
        <w:rPr>
          <w:szCs w:val="22"/>
          <w:lang w:eastAsia="hu-HU"/>
        </w:rPr>
        <w:t xml:space="preserve"> 4.4 </w:t>
      </w:r>
      <w:proofErr w:type="spellStart"/>
      <w:r w:rsidRPr="00B43731">
        <w:rPr>
          <w:szCs w:val="22"/>
          <w:lang w:eastAsia="hu-HU"/>
        </w:rPr>
        <w:t>pont</w:t>
      </w:r>
      <w:proofErr w:type="spellEnd"/>
      <w:r w:rsidRPr="00B43731">
        <w:rPr>
          <w:szCs w:val="22"/>
          <w:lang w:eastAsia="hu-HU"/>
        </w:rPr>
        <w:t>).</w:t>
      </w:r>
    </w:p>
    <w:p w14:paraId="513B432D" w14:textId="77777777" w:rsidR="00524F03" w:rsidRPr="00635B03" w:rsidRDefault="00524F03" w:rsidP="008D4234">
      <w:pPr>
        <w:spacing w:line="240" w:lineRule="auto"/>
        <w:rPr>
          <w:szCs w:val="22"/>
        </w:rPr>
      </w:pPr>
    </w:p>
    <w:p w14:paraId="7C4C2F0A" w14:textId="77777777" w:rsidR="001D29E6" w:rsidRPr="00635B03" w:rsidRDefault="001D29E6" w:rsidP="000244A6">
      <w:pPr>
        <w:pStyle w:val="Cmsor2"/>
        <w:rPr>
          <w:szCs w:val="22"/>
        </w:rPr>
      </w:pPr>
      <w:r w:rsidRPr="00635B03">
        <w:rPr>
          <w:bCs/>
          <w:szCs w:val="22"/>
          <w:lang w:val="hu"/>
        </w:rPr>
        <w:t>4.6</w:t>
      </w:r>
      <w:r w:rsidRPr="00635B03">
        <w:rPr>
          <w:bCs/>
          <w:szCs w:val="22"/>
          <w:lang w:val="hu"/>
        </w:rPr>
        <w:tab/>
        <w:t>Termékenység, terhesség és szoptatás</w:t>
      </w:r>
    </w:p>
    <w:p w14:paraId="11B58893" w14:textId="33D01949" w:rsidR="00C53ACC" w:rsidRPr="00635B03" w:rsidRDefault="00C53ACC" w:rsidP="008D4234">
      <w:pPr>
        <w:spacing w:line="240" w:lineRule="auto"/>
        <w:rPr>
          <w:i/>
          <w:szCs w:val="22"/>
        </w:rPr>
      </w:pPr>
    </w:p>
    <w:p w14:paraId="131340E7" w14:textId="77777777" w:rsidR="00072FDF" w:rsidRPr="00643EF0" w:rsidRDefault="00072FDF" w:rsidP="00072FD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>Terhesség</w:t>
      </w:r>
    </w:p>
    <w:p w14:paraId="64AD8A0C" w14:textId="5333D5D1" w:rsidR="00072FDF" w:rsidRPr="00643EF0" w:rsidRDefault="00072FDF" w:rsidP="00072FDF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  <w:r w:rsidRPr="00643EF0">
        <w:rPr>
          <w:szCs w:val="22"/>
          <w:lang w:val="hu"/>
        </w:rPr>
        <w:t xml:space="preserve">Az </w:t>
      </w:r>
      <w:proofErr w:type="spellStart"/>
      <w:r w:rsidRPr="00643EF0">
        <w:rPr>
          <w:szCs w:val="22"/>
          <w:lang w:val="hu"/>
        </w:rPr>
        <w:t>es</w:t>
      </w:r>
      <w:r w:rsidR="007040EF">
        <w:rPr>
          <w:szCs w:val="22"/>
          <w:lang w:val="hu"/>
        </w:rPr>
        <w:t>z</w:t>
      </w:r>
      <w:r w:rsidRPr="00643EF0">
        <w:rPr>
          <w:szCs w:val="22"/>
          <w:lang w:val="hu"/>
        </w:rPr>
        <w:t>zopiklon</w:t>
      </w:r>
      <w:proofErr w:type="spellEnd"/>
      <w:r w:rsidRPr="00643EF0">
        <w:rPr>
          <w:szCs w:val="22"/>
          <w:lang w:val="hu"/>
        </w:rPr>
        <w:t xml:space="preserve"> terhes nőknél </w:t>
      </w:r>
      <w:r w:rsidR="002F29D6" w:rsidRPr="00643EF0">
        <w:rPr>
          <w:szCs w:val="22"/>
          <w:lang w:val="hu"/>
        </w:rPr>
        <w:t>való</w:t>
      </w:r>
      <w:r w:rsidRPr="00643EF0">
        <w:rPr>
          <w:szCs w:val="22"/>
          <w:lang w:val="hu"/>
        </w:rPr>
        <w:t xml:space="preserve"> </w:t>
      </w:r>
      <w:r w:rsidR="00524F03">
        <w:rPr>
          <w:szCs w:val="22"/>
          <w:lang w:val="hu"/>
        </w:rPr>
        <w:t>alkalmazásával</w:t>
      </w:r>
      <w:r w:rsidR="00524F03" w:rsidRPr="00643EF0">
        <w:rPr>
          <w:szCs w:val="22"/>
          <w:lang w:val="hu"/>
        </w:rPr>
        <w:t xml:space="preserve"> </w:t>
      </w:r>
      <w:r w:rsidR="002F29D6" w:rsidRPr="00643EF0">
        <w:rPr>
          <w:szCs w:val="22"/>
          <w:lang w:val="hu"/>
        </w:rPr>
        <w:t>kapcsolatosan</w:t>
      </w:r>
      <w:r w:rsidRPr="00643EF0">
        <w:rPr>
          <w:szCs w:val="22"/>
          <w:lang w:val="hu"/>
        </w:rPr>
        <w:t xml:space="preserve"> nem áll rendelkezésre információ vagy korlátozott mennyiségű információ áll rendelkezésre. Állatkísérletek során reproduktív toxicitást igazoltak (lásd 5.3 pont). Az emberekre nézve a potenciális kockázat nem ismert. Az </w:t>
      </w:r>
      <w:proofErr w:type="spellStart"/>
      <w:r w:rsidRPr="00643EF0">
        <w:rPr>
          <w:szCs w:val="22"/>
          <w:lang w:val="hu"/>
        </w:rPr>
        <w:t>Esogno</w:t>
      </w:r>
      <w:proofErr w:type="spellEnd"/>
      <w:r w:rsidRPr="00643EF0">
        <w:rPr>
          <w:szCs w:val="22"/>
          <w:lang w:val="hu"/>
        </w:rPr>
        <w:t xml:space="preserve"> alkalmazása nem </w:t>
      </w:r>
      <w:r w:rsidR="00524F03">
        <w:rPr>
          <w:szCs w:val="22"/>
          <w:lang w:val="hu"/>
        </w:rPr>
        <w:t>javasolt</w:t>
      </w:r>
      <w:r w:rsidR="00524F03" w:rsidRPr="00643EF0">
        <w:rPr>
          <w:szCs w:val="22"/>
          <w:lang w:val="hu"/>
        </w:rPr>
        <w:t xml:space="preserve"> </w:t>
      </w:r>
      <w:r w:rsidRPr="00643EF0">
        <w:rPr>
          <w:szCs w:val="22"/>
          <w:lang w:val="hu"/>
        </w:rPr>
        <w:t>terhesség alatt és olyan fogamzóképes korú nők esetében, akik nem alkalmaznak fogamzásgátlást</w:t>
      </w:r>
      <w:r w:rsidR="00215D6F" w:rsidRPr="00643EF0">
        <w:rPr>
          <w:szCs w:val="22"/>
          <w:lang w:val="hu"/>
        </w:rPr>
        <w:t>.</w:t>
      </w:r>
    </w:p>
    <w:p w14:paraId="37BEE80A" w14:textId="77777777" w:rsidR="003102F5" w:rsidRPr="00643EF0" w:rsidRDefault="003102F5" w:rsidP="006759B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9BA7CB" w14:textId="3B5531E4" w:rsidR="00D51F7C" w:rsidRPr="00643EF0" w:rsidRDefault="00BE70B9" w:rsidP="00770FF1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 terhesség későbbi szakaszában </w:t>
      </w:r>
      <w:proofErr w:type="spellStart"/>
      <w:r w:rsidRPr="00643EF0">
        <w:rPr>
          <w:szCs w:val="22"/>
          <w:lang w:val="hu"/>
        </w:rPr>
        <w:t>racém</w:t>
      </w:r>
      <w:proofErr w:type="spellEnd"/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zopiklont</w:t>
      </w:r>
      <w:proofErr w:type="spellEnd"/>
      <w:r w:rsidRPr="00643EF0">
        <w:rPr>
          <w:szCs w:val="22"/>
          <w:lang w:val="hu"/>
        </w:rPr>
        <w:t xml:space="preserve"> alkalmazó anya újszülöttjénél elvonási tünetek alakulhatnak ki a születés után. Az utolsó trimeszterben fennáll a magzatot és/vagy az újszülöttet érintő nemkívánatos farmakológiai hatások, például </w:t>
      </w:r>
      <w:proofErr w:type="spellStart"/>
      <w:r w:rsidRPr="00643EF0">
        <w:rPr>
          <w:szCs w:val="22"/>
          <w:lang w:val="hu"/>
        </w:rPr>
        <w:t>hypotonia</w:t>
      </w:r>
      <w:proofErr w:type="spellEnd"/>
      <w:r w:rsidRPr="00643EF0">
        <w:rPr>
          <w:szCs w:val="22"/>
          <w:lang w:val="hu"/>
        </w:rPr>
        <w:t xml:space="preserve">, légzésdepresszió és </w:t>
      </w:r>
      <w:proofErr w:type="spellStart"/>
      <w:r w:rsidRPr="00643EF0">
        <w:rPr>
          <w:szCs w:val="22"/>
          <w:lang w:val="hu"/>
        </w:rPr>
        <w:t>hypothermia</w:t>
      </w:r>
      <w:proofErr w:type="spellEnd"/>
      <w:r w:rsidRPr="00643EF0">
        <w:rPr>
          <w:szCs w:val="22"/>
          <w:lang w:val="hu"/>
        </w:rPr>
        <w:t xml:space="preserve"> kockázata. </w:t>
      </w:r>
    </w:p>
    <w:p w14:paraId="5A428328" w14:textId="77777777" w:rsidR="00670C59" w:rsidRPr="00643EF0" w:rsidRDefault="00670C59" w:rsidP="00072FDF">
      <w:pPr>
        <w:rPr>
          <w:szCs w:val="22"/>
          <w:u w:val="single"/>
        </w:rPr>
      </w:pPr>
    </w:p>
    <w:p w14:paraId="42D9BCE4" w14:textId="486B5FAE" w:rsidR="00072FDF" w:rsidRPr="0082217D" w:rsidRDefault="00072FDF" w:rsidP="00072FDF">
      <w:pPr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>Szoptatás</w:t>
      </w:r>
    </w:p>
    <w:p w14:paraId="363046C7" w14:textId="28137095" w:rsidR="00072FDF" w:rsidRPr="00643EF0" w:rsidRDefault="00072FDF" w:rsidP="00072FDF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Nem ismert, hogy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vagy </w:t>
      </w:r>
      <w:proofErr w:type="spellStart"/>
      <w:r w:rsidRPr="00643EF0">
        <w:rPr>
          <w:szCs w:val="22"/>
          <w:lang w:val="hu"/>
        </w:rPr>
        <w:t>metabolitja</w:t>
      </w:r>
      <w:proofErr w:type="spellEnd"/>
      <w:r w:rsidRPr="00643EF0">
        <w:rPr>
          <w:szCs w:val="22"/>
          <w:lang w:val="hu"/>
        </w:rPr>
        <w:t>, az (S)-N-</w:t>
      </w:r>
      <w:proofErr w:type="spellStart"/>
      <w:r w:rsidRPr="00643EF0">
        <w:rPr>
          <w:szCs w:val="22"/>
          <w:lang w:val="hu"/>
        </w:rPr>
        <w:t>dezmetil</w:t>
      </w:r>
      <w:proofErr w:type="spellEnd"/>
      <w:r w:rsidRPr="00643EF0">
        <w:rPr>
          <w:szCs w:val="22"/>
          <w:lang w:val="hu"/>
        </w:rPr>
        <w:t>-</w:t>
      </w:r>
      <w:proofErr w:type="spellStart"/>
      <w:r w:rsidRPr="00643EF0">
        <w:rPr>
          <w:szCs w:val="22"/>
          <w:lang w:val="hu"/>
        </w:rPr>
        <w:t>zopiklon</w:t>
      </w:r>
      <w:proofErr w:type="spellEnd"/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kiválasztódik</w:t>
      </w:r>
      <w:proofErr w:type="spellEnd"/>
      <w:r w:rsidRPr="00643EF0">
        <w:rPr>
          <w:szCs w:val="22"/>
          <w:lang w:val="hu"/>
        </w:rPr>
        <w:t xml:space="preserve">-e a humán anyatejbe. Racém </w:t>
      </w:r>
      <w:proofErr w:type="spellStart"/>
      <w:r w:rsidRPr="00643EF0">
        <w:rPr>
          <w:szCs w:val="22"/>
          <w:lang w:val="hu"/>
        </w:rPr>
        <w:t>zopiklonnal</w:t>
      </w:r>
      <w:proofErr w:type="spellEnd"/>
      <w:r w:rsidRPr="00643EF0">
        <w:rPr>
          <w:szCs w:val="22"/>
          <w:lang w:val="hu"/>
        </w:rPr>
        <w:t xml:space="preserve"> végzett humán vizsgálatokban és állatkísérletekben az anyatejbe való átjutást igazolták. Nem zárható ki az anyatejjel táplált gyermeket fenyegető kockázat. </w:t>
      </w:r>
    </w:p>
    <w:p w14:paraId="751812DC" w14:textId="3525CBF5" w:rsidR="00072FDF" w:rsidRPr="00643EF0" w:rsidRDefault="000B073A" w:rsidP="00072FDF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  <w:r w:rsidRPr="00643EF0">
        <w:rPr>
          <w:szCs w:val="22"/>
          <w:lang w:val="hu"/>
        </w:rPr>
        <w:t>A</w:t>
      </w:r>
      <w:r w:rsidR="00524F03">
        <w:rPr>
          <w:szCs w:val="22"/>
          <w:lang w:val="hu"/>
        </w:rPr>
        <w:t>z</w:t>
      </w:r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Esogno</w:t>
      </w:r>
      <w:proofErr w:type="spellEnd"/>
      <w:r w:rsidRPr="00643EF0">
        <w:rPr>
          <w:szCs w:val="22"/>
          <w:lang w:val="hu"/>
        </w:rPr>
        <w:t xml:space="preserve"> alkalmaz</w:t>
      </w:r>
      <w:r w:rsidR="00524F03">
        <w:rPr>
          <w:szCs w:val="22"/>
          <w:lang w:val="hu"/>
        </w:rPr>
        <w:t>ása nem ajánlott</w:t>
      </w:r>
      <w:r w:rsidRPr="00643EF0">
        <w:rPr>
          <w:szCs w:val="22"/>
          <w:lang w:val="hu"/>
        </w:rPr>
        <w:t xml:space="preserve"> szoptatás </w:t>
      </w:r>
      <w:r w:rsidR="006621E0">
        <w:rPr>
          <w:szCs w:val="22"/>
          <w:lang w:val="hu"/>
        </w:rPr>
        <w:t>során</w:t>
      </w:r>
      <w:r w:rsidRPr="00643EF0">
        <w:rPr>
          <w:szCs w:val="22"/>
          <w:lang w:val="hu"/>
        </w:rPr>
        <w:t>.</w:t>
      </w:r>
    </w:p>
    <w:p w14:paraId="37988892" w14:textId="77777777" w:rsidR="00072FDF" w:rsidRPr="0082217D" w:rsidRDefault="00072FDF" w:rsidP="00072FDF">
      <w:pPr>
        <w:rPr>
          <w:szCs w:val="22"/>
        </w:rPr>
      </w:pPr>
    </w:p>
    <w:p w14:paraId="71BC0C3F" w14:textId="77777777" w:rsidR="00072FDF" w:rsidRPr="0082217D" w:rsidRDefault="00072FDF" w:rsidP="00072FDF">
      <w:pPr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>Termékenység</w:t>
      </w:r>
    </w:p>
    <w:p w14:paraId="562ECA77" w14:textId="43767C6B" w:rsidR="00072FDF" w:rsidRPr="00643EF0" w:rsidRDefault="00072FDF" w:rsidP="00072FDF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>Emberekkel végzett klinikai vizsgálatokban férfiaknál és nőknél sem figyeltek meg csökkent termékenységre utaló bizonyítékot</w:t>
      </w:r>
      <w:r w:rsidR="00094848" w:rsidRPr="00643EF0">
        <w:rPr>
          <w:szCs w:val="22"/>
          <w:lang w:val="hu"/>
        </w:rPr>
        <w:t>,</w:t>
      </w:r>
      <w:r w:rsidRPr="00643EF0">
        <w:rPr>
          <w:szCs w:val="22"/>
          <w:lang w:val="hu"/>
        </w:rPr>
        <w:t xml:space="preserve"> legfeljebb 6 hónapig tartó kezelés után.</w:t>
      </w:r>
    </w:p>
    <w:p w14:paraId="5C1A218D" w14:textId="7BB932E4" w:rsidR="00072FDF" w:rsidRPr="00643EF0" w:rsidRDefault="00072FDF" w:rsidP="00072FDF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  <w:r w:rsidRPr="00643EF0">
        <w:rPr>
          <w:szCs w:val="22"/>
          <w:lang w:val="hu"/>
        </w:rPr>
        <w:t xml:space="preserve">Az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nal</w:t>
      </w:r>
      <w:proofErr w:type="spellEnd"/>
      <w:r w:rsidRPr="00643EF0">
        <w:rPr>
          <w:szCs w:val="22"/>
          <w:lang w:val="hu"/>
        </w:rPr>
        <w:t xml:space="preserve"> végzett állatkísérletekben azonban a hímek és a nőstények termékenységének károsodását mutatták ki különböző fajokban (lásd 5.3 pont).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férfi termékenységre és női nemi ciklusra kifejtett, krónikus alkalmazás (&gt;6 hónap) utáni hatása embernél nem ismert.</w:t>
      </w:r>
    </w:p>
    <w:p w14:paraId="361907A0" w14:textId="77777777" w:rsidR="0020074E" w:rsidRPr="0082217D" w:rsidRDefault="0020074E" w:rsidP="00BC3662">
      <w:pPr>
        <w:spacing w:line="240" w:lineRule="auto"/>
        <w:rPr>
          <w:szCs w:val="22"/>
        </w:rPr>
      </w:pPr>
    </w:p>
    <w:p w14:paraId="3B18DE55" w14:textId="060E55C4" w:rsidR="00A049FF" w:rsidRPr="00A2123E" w:rsidRDefault="001D29E6" w:rsidP="00A049FF">
      <w:pPr>
        <w:pStyle w:val="Cmsor2"/>
        <w:rPr>
          <w:szCs w:val="22"/>
        </w:rPr>
      </w:pPr>
      <w:r w:rsidRPr="00A2123E">
        <w:rPr>
          <w:bCs/>
          <w:szCs w:val="22"/>
          <w:lang w:val="hu"/>
        </w:rPr>
        <w:t>4.7</w:t>
      </w:r>
      <w:r w:rsidRPr="00A2123E">
        <w:rPr>
          <w:bCs/>
          <w:szCs w:val="22"/>
          <w:lang w:val="hu"/>
        </w:rPr>
        <w:tab/>
        <w:t>A készítmény hatásai a gépjárművezetéshez és a gépek kezeléséhez szükséges képességekre</w:t>
      </w:r>
    </w:p>
    <w:p w14:paraId="79AF960D" w14:textId="77777777" w:rsidR="00A049FF" w:rsidRPr="00643EF0" w:rsidRDefault="00A049FF" w:rsidP="00F706D8">
      <w:pPr>
        <w:spacing w:line="240" w:lineRule="auto"/>
        <w:rPr>
          <w:szCs w:val="22"/>
        </w:rPr>
      </w:pPr>
    </w:p>
    <w:p w14:paraId="5125DD25" w14:textId="266696EE" w:rsidR="009724BE" w:rsidRPr="00A2123E" w:rsidRDefault="00A94CCE" w:rsidP="00F706D8">
      <w:pPr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</w:t>
      </w:r>
      <w:r w:rsidRPr="0082217D">
        <w:rPr>
          <w:szCs w:val="22"/>
          <w:lang w:val="hu"/>
        </w:rPr>
        <w:t xml:space="preserve">nagymértékben, alkalmazása után több órán át befolyásolja a gépjárművezetéshez és a gépek kezeléséhez szükséges képességeket. A </w:t>
      </w:r>
      <w:proofErr w:type="spellStart"/>
      <w:r w:rsidRPr="0082217D">
        <w:rPr>
          <w:szCs w:val="22"/>
          <w:lang w:val="hu"/>
        </w:rPr>
        <w:t>szedáció</w:t>
      </w:r>
      <w:proofErr w:type="spellEnd"/>
      <w:r w:rsidRPr="0082217D">
        <w:rPr>
          <w:szCs w:val="22"/>
          <w:lang w:val="hu"/>
        </w:rPr>
        <w:t xml:space="preserve">, amnézia, homályos látás, csökkent koncentráció és károsodott izomműködés kedvezőtlenül befolyásolhatja a gépjárművezetéshez vagy gépek kezeléséhez szükséges képességeket. Ha az alvás nem tart elég ideig, megnőhet a csökkent éberség valószínűsége. </w:t>
      </w:r>
    </w:p>
    <w:p w14:paraId="38ECFA3C" w14:textId="6AE77997" w:rsidR="001D29E6" w:rsidRPr="00A2123E" w:rsidRDefault="00A94CCE" w:rsidP="008D4234">
      <w:pPr>
        <w:spacing w:line="240" w:lineRule="auto"/>
        <w:rPr>
          <w:szCs w:val="22"/>
        </w:rPr>
      </w:pPr>
      <w:r w:rsidRPr="007B3CA8">
        <w:rPr>
          <w:szCs w:val="22"/>
          <w:lang w:val="hu"/>
        </w:rPr>
        <w:t xml:space="preserve">Fel kell hívni a betegek figyelmét arra, hogy ne vezessenek gépjárművet és ne kezeljenek gépeket, ha ezen hatások bármelyikét tapasztalják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="00DC073A" w:rsidRPr="00643EF0">
        <w:rPr>
          <w:szCs w:val="22"/>
          <w:lang w:val="hu"/>
        </w:rPr>
        <w:t>-</w:t>
      </w:r>
      <w:r w:rsidRPr="0082217D">
        <w:rPr>
          <w:szCs w:val="22"/>
          <w:lang w:val="hu"/>
        </w:rPr>
        <w:t xml:space="preserve">kezelés utáni napon. A felsorolt hatások minimálisra csökkentése érdekében legalább 12 órát javasolt várni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82217D">
        <w:rPr>
          <w:szCs w:val="22"/>
          <w:lang w:val="hu"/>
        </w:rPr>
        <w:t xml:space="preserve"> bevétele és a </w:t>
      </w:r>
      <w:r w:rsidR="006621E0">
        <w:rPr>
          <w:szCs w:val="22"/>
          <w:lang w:val="hu"/>
        </w:rPr>
        <w:t>gépjármű</w:t>
      </w:r>
      <w:r w:rsidRPr="0082217D">
        <w:rPr>
          <w:szCs w:val="22"/>
          <w:lang w:val="hu"/>
        </w:rPr>
        <w:t>vezetés, gépek kezelése és magasban végzett munka között.</w:t>
      </w:r>
    </w:p>
    <w:p w14:paraId="4C577029" w14:textId="68151B42" w:rsidR="00BB215C" w:rsidRPr="007B3CA8" w:rsidRDefault="00BB215C" w:rsidP="008D4234">
      <w:pPr>
        <w:spacing w:line="240" w:lineRule="auto"/>
        <w:rPr>
          <w:szCs w:val="22"/>
        </w:rPr>
      </w:pPr>
    </w:p>
    <w:p w14:paraId="519F64CB" w14:textId="59C348BF" w:rsidR="00A049FF" w:rsidRPr="00D24220" w:rsidRDefault="00A049FF" w:rsidP="00A049FF">
      <w:pPr>
        <w:pStyle w:val="MGGTextLeft"/>
        <w:rPr>
          <w:iCs/>
          <w:szCs w:val="22"/>
        </w:rPr>
      </w:pPr>
      <w:r w:rsidRPr="00D24220">
        <w:rPr>
          <w:szCs w:val="22"/>
          <w:lang w:val="hu"/>
        </w:rPr>
        <w:t xml:space="preserve">A gépjárművezetési képesség csökkenése és „alva vezetéshez” hasonló viselkedések fordultak elő akkor, amikor az </w:t>
      </w:r>
      <w:proofErr w:type="spellStart"/>
      <w:r w:rsidR="007040EF">
        <w:rPr>
          <w:szCs w:val="22"/>
          <w:lang w:val="hu"/>
        </w:rPr>
        <w:t>eszzopiklon</w:t>
      </w:r>
      <w:r w:rsidRPr="00D24220">
        <w:rPr>
          <w:szCs w:val="22"/>
          <w:lang w:val="hu"/>
        </w:rPr>
        <w:t>t</w:t>
      </w:r>
      <w:proofErr w:type="spellEnd"/>
      <w:r w:rsidRPr="00D24220">
        <w:rPr>
          <w:szCs w:val="22"/>
          <w:lang w:val="hu"/>
        </w:rPr>
        <w:t xml:space="preserve"> önmagában, terápiás adagokban alkalmazták (lásd 4.4 pont). </w:t>
      </w:r>
    </w:p>
    <w:p w14:paraId="6AEA9AEE" w14:textId="77777777" w:rsidR="00A049FF" w:rsidRPr="00635B03" w:rsidRDefault="00A049FF" w:rsidP="00A049FF">
      <w:pPr>
        <w:pStyle w:val="MGGTextLeft"/>
        <w:rPr>
          <w:szCs w:val="22"/>
        </w:rPr>
      </w:pPr>
    </w:p>
    <w:p w14:paraId="0CC3A339" w14:textId="254C1711" w:rsidR="00A049FF" w:rsidRPr="00635B03" w:rsidRDefault="00A049FF" w:rsidP="00A049FF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Továbbá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35B03">
        <w:rPr>
          <w:szCs w:val="22"/>
          <w:lang w:val="hu"/>
        </w:rPr>
        <w:t xml:space="preserve"> egyidejű alkalmazása alkohollal és egyéb KIR-</w:t>
      </w:r>
      <w:proofErr w:type="spellStart"/>
      <w:r w:rsidRPr="00635B03">
        <w:rPr>
          <w:szCs w:val="22"/>
          <w:lang w:val="hu"/>
        </w:rPr>
        <w:t>depresszánsokkal</w:t>
      </w:r>
      <w:proofErr w:type="spellEnd"/>
      <w:r w:rsidRPr="00635B03">
        <w:rPr>
          <w:szCs w:val="22"/>
          <w:lang w:val="hu"/>
        </w:rPr>
        <w:t xml:space="preserve"> megnöveli az ilyen viselkedés kockázatát (lásd 4.4 és 4.5 pont). Fel kell hívni a betegek figyelmét, hogy ne fogyasszanak alkoholt vagy más pszichoaktív </w:t>
      </w:r>
      <w:r w:rsidR="006621E0">
        <w:rPr>
          <w:szCs w:val="22"/>
          <w:lang w:val="hu"/>
        </w:rPr>
        <w:t>szert</w:t>
      </w:r>
      <w:r w:rsidRPr="00635B03">
        <w:rPr>
          <w:szCs w:val="22"/>
          <w:lang w:val="hu"/>
        </w:rPr>
        <w:t xml:space="preserve">, amikor </w:t>
      </w:r>
      <w:proofErr w:type="spellStart"/>
      <w:r w:rsidR="007040EF">
        <w:rPr>
          <w:szCs w:val="22"/>
          <w:lang w:val="hu"/>
        </w:rPr>
        <w:t>eszzopiklon</w:t>
      </w:r>
      <w:r w:rsidRPr="00635B03">
        <w:rPr>
          <w:szCs w:val="22"/>
          <w:lang w:val="hu"/>
        </w:rPr>
        <w:t>t</w:t>
      </w:r>
      <w:proofErr w:type="spellEnd"/>
      <w:r w:rsidRPr="00635B03">
        <w:rPr>
          <w:szCs w:val="22"/>
          <w:lang w:val="hu"/>
        </w:rPr>
        <w:t xml:space="preserve"> szednek.</w:t>
      </w:r>
    </w:p>
    <w:p w14:paraId="51702D5D" w14:textId="77777777" w:rsidR="006C4582" w:rsidRPr="00635B03" w:rsidRDefault="006C4582" w:rsidP="00A049FF">
      <w:pPr>
        <w:spacing w:line="240" w:lineRule="auto"/>
        <w:rPr>
          <w:szCs w:val="22"/>
        </w:rPr>
      </w:pPr>
    </w:p>
    <w:p w14:paraId="7648A882" w14:textId="60D6A9F4" w:rsidR="001D29E6" w:rsidRPr="00635B03" w:rsidRDefault="00D56FF5" w:rsidP="00D56FF5">
      <w:pPr>
        <w:pStyle w:val="Cmsor2"/>
        <w:rPr>
          <w:szCs w:val="22"/>
        </w:rPr>
      </w:pPr>
      <w:r w:rsidRPr="00635B03">
        <w:rPr>
          <w:bCs/>
          <w:szCs w:val="22"/>
          <w:lang w:val="hu"/>
        </w:rPr>
        <w:t>4.8</w:t>
      </w:r>
      <w:r w:rsidRPr="00635B03">
        <w:rPr>
          <w:bCs/>
          <w:szCs w:val="22"/>
          <w:lang w:val="hu"/>
        </w:rPr>
        <w:tab/>
        <w:t>Nemkívánatos hatások, mellékhatások</w:t>
      </w:r>
    </w:p>
    <w:p w14:paraId="5C7585D3" w14:textId="04D92A54" w:rsidR="001D29E6" w:rsidRPr="00635B03" w:rsidRDefault="001D29E6" w:rsidP="008D4234">
      <w:pPr>
        <w:spacing w:line="240" w:lineRule="auto"/>
        <w:rPr>
          <w:szCs w:val="22"/>
        </w:rPr>
      </w:pPr>
    </w:p>
    <w:p w14:paraId="239BE092" w14:textId="19EF2231" w:rsidR="004E2C93" w:rsidRPr="00643EF0" w:rsidRDefault="004E2C93" w:rsidP="004E2C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>A mellékhatások</w:t>
      </w:r>
      <w:r w:rsidR="00DA785E" w:rsidRPr="00643EF0">
        <w:rPr>
          <w:szCs w:val="22"/>
          <w:lang w:val="hu"/>
        </w:rPr>
        <w:t>kal</w:t>
      </w:r>
      <w:r w:rsidRPr="00643EF0">
        <w:rPr>
          <w:szCs w:val="22"/>
          <w:lang w:val="hu"/>
        </w:rPr>
        <w:t xml:space="preserve"> </w:t>
      </w:r>
      <w:r w:rsidR="00DA785E" w:rsidRPr="00643EF0">
        <w:rPr>
          <w:szCs w:val="22"/>
          <w:lang w:val="hu"/>
        </w:rPr>
        <w:t xml:space="preserve">kapcsolatos </w:t>
      </w:r>
      <w:r w:rsidRPr="00643EF0">
        <w:rPr>
          <w:szCs w:val="22"/>
          <w:lang w:val="hu"/>
        </w:rPr>
        <w:t xml:space="preserve">információk legfeljebb 6 hónapig tartó, 1–3 mg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vagy placebo alkalmazásával felnőtteknél végzett klinikai vizsgálatok tapasztalataiból származnak. Ezekben a klinikai vizsgálatokban összesen 1626 résztvevő alkalmazott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t</w:t>
      </w:r>
      <w:proofErr w:type="spellEnd"/>
      <w:r w:rsidRPr="00643EF0">
        <w:rPr>
          <w:szCs w:val="22"/>
          <w:lang w:val="hu"/>
        </w:rPr>
        <w:t xml:space="preserve"> és 858 résztvevő szedett </w:t>
      </w:r>
      <w:proofErr w:type="spellStart"/>
      <w:r w:rsidRPr="00643EF0">
        <w:rPr>
          <w:szCs w:val="22"/>
          <w:lang w:val="hu"/>
        </w:rPr>
        <w:t>placebót</w:t>
      </w:r>
      <w:proofErr w:type="spellEnd"/>
      <w:r w:rsidRPr="00643EF0">
        <w:rPr>
          <w:szCs w:val="22"/>
          <w:lang w:val="hu"/>
        </w:rPr>
        <w:t xml:space="preserve">. A leggyakrabban jelentett mellékhatás a </w:t>
      </w:r>
      <w:proofErr w:type="spellStart"/>
      <w:r w:rsidRPr="00643EF0">
        <w:rPr>
          <w:szCs w:val="22"/>
          <w:lang w:val="hu"/>
        </w:rPr>
        <w:t>dysgeusia</w:t>
      </w:r>
      <w:proofErr w:type="spellEnd"/>
      <w:r w:rsidRPr="00643EF0">
        <w:rPr>
          <w:szCs w:val="22"/>
          <w:lang w:val="hu"/>
        </w:rPr>
        <w:t xml:space="preserve"> (ízérzészavar) volt. Továbbá gyakran (a betegek &lt;10%</w:t>
      </w:r>
      <w:r w:rsidRPr="00643EF0">
        <w:rPr>
          <w:szCs w:val="22"/>
          <w:lang w:val="hu"/>
        </w:rPr>
        <w:noBreakHyphen/>
      </w:r>
      <w:proofErr w:type="spellStart"/>
      <w:r w:rsidRPr="00643EF0">
        <w:rPr>
          <w:szCs w:val="22"/>
          <w:lang w:val="hu"/>
        </w:rPr>
        <w:t>ánál</w:t>
      </w:r>
      <w:proofErr w:type="spellEnd"/>
      <w:r w:rsidRPr="00643EF0">
        <w:rPr>
          <w:szCs w:val="22"/>
          <w:lang w:val="hu"/>
        </w:rPr>
        <w:t>) számoltak be fejfájásról, aluszékonyságról, szájszárazságról, szédülésről és hányingerről.</w:t>
      </w:r>
    </w:p>
    <w:p w14:paraId="6C74F2EF" w14:textId="77777777" w:rsidR="00BC1A33" w:rsidRPr="00643EF0" w:rsidRDefault="00BC1A33" w:rsidP="004E2C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8D89E38" w14:textId="2878EED0" w:rsidR="004E2C93" w:rsidRPr="00643EF0" w:rsidRDefault="004E2C93" w:rsidP="004E2C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Az alábbi táblázat azokat a mellékhatásokat tartalmazza szervrendszeri besorolás és gyakoriság szerint, amelyek a </w:t>
      </w:r>
      <w:proofErr w:type="spellStart"/>
      <w:r w:rsidRPr="00643EF0">
        <w:rPr>
          <w:szCs w:val="22"/>
          <w:lang w:val="hu"/>
        </w:rPr>
        <w:t>placebónál</w:t>
      </w:r>
      <w:proofErr w:type="spellEnd"/>
      <w:r w:rsidRPr="00643EF0">
        <w:rPr>
          <w:szCs w:val="22"/>
          <w:lang w:val="hu"/>
        </w:rPr>
        <w:t xml:space="preserve"> nagyobb gyakorisággal, legalább 2 betegnél fordultak elő: nagyon gyakori (≥1/10), gyakori (≥1/100 – &lt;1/10), nem gyakori (≥1/1000 – &lt;1/100), ritka (≥1/10 000 – &lt;1/1 000) és nagyon ritka (&lt;1/10 000),</w:t>
      </w:r>
      <w:r w:rsidRPr="0082217D">
        <w:rPr>
          <w:szCs w:val="22"/>
          <w:lang w:val="hu"/>
        </w:rPr>
        <w:t xml:space="preserve"> </w:t>
      </w:r>
      <w:r w:rsidRPr="00643EF0">
        <w:rPr>
          <w:szCs w:val="22"/>
          <w:lang w:val="hu"/>
        </w:rPr>
        <w:t xml:space="preserve">valamint nem ismert (a </w:t>
      </w:r>
      <w:r w:rsidR="00A9040F">
        <w:rPr>
          <w:szCs w:val="22"/>
          <w:lang w:val="hu"/>
        </w:rPr>
        <w:t xml:space="preserve">gyakoriság a </w:t>
      </w:r>
      <w:r w:rsidRPr="00643EF0">
        <w:rPr>
          <w:szCs w:val="22"/>
          <w:lang w:val="hu"/>
        </w:rPr>
        <w:t>rendelkezésre álló adatokból nem állapítható meg). Minden gyakorisági csoportban a mellékhatások csökkenő súlyossági sorrendben kerülnek felsorolásra.</w:t>
      </w:r>
    </w:p>
    <w:p w14:paraId="7AFA3E0D" w14:textId="77777777" w:rsidR="00A52339" w:rsidRPr="00643EF0" w:rsidRDefault="00A52339" w:rsidP="004E2C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tbl>
      <w:tblPr>
        <w:tblStyle w:val="Rcsostblzat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298"/>
      </w:tblGrid>
      <w:tr w:rsidR="001815D9" w:rsidRPr="00643EF0" w14:paraId="50838F90" w14:textId="77777777" w:rsidTr="00215D6F">
        <w:trPr>
          <w:trHeight w:val="252"/>
        </w:trPr>
        <w:tc>
          <w:tcPr>
            <w:tcW w:w="9101" w:type="dxa"/>
            <w:gridSpan w:val="2"/>
          </w:tcPr>
          <w:p w14:paraId="37A1AD56" w14:textId="26E0A757" w:rsidR="001815D9" w:rsidRPr="00643EF0" w:rsidRDefault="001815D9" w:rsidP="001815D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b/>
                <w:bCs/>
                <w:noProof/>
                <w:szCs w:val="22"/>
                <w:lang w:val="hu"/>
              </w:rPr>
              <w:t>Fertőző betegségek és parazitafertőzések</w:t>
            </w:r>
          </w:p>
        </w:tc>
      </w:tr>
      <w:tr w:rsidR="001815D9" w:rsidRPr="00643EF0" w14:paraId="465F505F" w14:textId="77777777" w:rsidTr="00215D6F">
        <w:trPr>
          <w:trHeight w:val="222"/>
        </w:trPr>
        <w:tc>
          <w:tcPr>
            <w:tcW w:w="1803" w:type="dxa"/>
          </w:tcPr>
          <w:p w14:paraId="6227608D" w14:textId="61A58382" w:rsidR="001815D9" w:rsidRPr="00643EF0" w:rsidRDefault="001815D9" w:rsidP="004E2C9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1BAFE7E1" w14:textId="3AD74033" w:rsidR="001815D9" w:rsidRPr="00643EF0" w:rsidRDefault="006A0CD6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Fertőzés, vírusfertőzés</w:t>
            </w:r>
          </w:p>
        </w:tc>
      </w:tr>
      <w:tr w:rsidR="0095673E" w:rsidRPr="00643EF0" w14:paraId="138DF3FC" w14:textId="77777777" w:rsidTr="00215D6F">
        <w:trPr>
          <w:trHeight w:val="252"/>
        </w:trPr>
        <w:tc>
          <w:tcPr>
            <w:tcW w:w="1803" w:type="dxa"/>
          </w:tcPr>
          <w:p w14:paraId="201725EF" w14:textId="77777777" w:rsidR="0095673E" w:rsidRPr="00770FF1" w:rsidRDefault="0095673E" w:rsidP="004E2C9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3316FA52" w14:textId="77777777" w:rsidR="0095673E" w:rsidRPr="00643EF0" w:rsidRDefault="0095673E" w:rsidP="004E2C9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1815D9" w:rsidRPr="00643EF0" w14:paraId="5F300C66" w14:textId="77777777" w:rsidTr="00215D6F">
        <w:trPr>
          <w:trHeight w:val="252"/>
        </w:trPr>
        <w:tc>
          <w:tcPr>
            <w:tcW w:w="9101" w:type="dxa"/>
            <w:gridSpan w:val="2"/>
          </w:tcPr>
          <w:p w14:paraId="36470FA5" w14:textId="6C9441A8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Vérképzőszervi és nyirokrendszeri betegségek és tünetek</w:t>
            </w:r>
          </w:p>
        </w:tc>
      </w:tr>
      <w:tr w:rsidR="001815D9" w:rsidRPr="00643EF0" w14:paraId="72027D5C" w14:textId="77777777" w:rsidTr="00215D6F">
        <w:trPr>
          <w:trHeight w:val="252"/>
        </w:trPr>
        <w:tc>
          <w:tcPr>
            <w:tcW w:w="1803" w:type="dxa"/>
          </w:tcPr>
          <w:p w14:paraId="176368A8" w14:textId="348A1A84" w:rsidR="001815D9" w:rsidRPr="00643EF0" w:rsidRDefault="00995160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5BB2B624" w14:textId="65EC33C1" w:rsidR="001815D9" w:rsidRPr="00643EF0" w:rsidRDefault="00B1348C" w:rsidP="00DD1D4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Hypochrom</w:t>
            </w:r>
            <w:proofErr w:type="spellEnd"/>
            <w:r w:rsidRPr="00643EF0">
              <w:rPr>
                <w:szCs w:val="22"/>
                <w:lang w:val="hu"/>
              </w:rPr>
              <w:t xml:space="preserve"> </w:t>
            </w:r>
            <w:proofErr w:type="spellStart"/>
            <w:r w:rsidRPr="00643EF0">
              <w:rPr>
                <w:szCs w:val="22"/>
                <w:lang w:val="hu"/>
              </w:rPr>
              <w:t>anaemia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anaemia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leukopenia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eosinophilia</w:t>
            </w:r>
            <w:proofErr w:type="spellEnd"/>
            <w:r w:rsidRPr="00643EF0">
              <w:rPr>
                <w:szCs w:val="22"/>
                <w:lang w:val="hu"/>
              </w:rPr>
              <w:t xml:space="preserve"> </w:t>
            </w:r>
          </w:p>
        </w:tc>
      </w:tr>
      <w:tr w:rsidR="0095673E" w:rsidRPr="00643EF0" w14:paraId="323336BD" w14:textId="77777777" w:rsidTr="00215D6F">
        <w:trPr>
          <w:trHeight w:val="252"/>
        </w:trPr>
        <w:tc>
          <w:tcPr>
            <w:tcW w:w="1803" w:type="dxa"/>
          </w:tcPr>
          <w:p w14:paraId="4D8F5720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0F0E49D5" w14:textId="77777777" w:rsidR="0095673E" w:rsidRPr="00643EF0" w:rsidRDefault="0095673E" w:rsidP="003627C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1815D9" w:rsidRPr="00643EF0" w14:paraId="07B71B1F" w14:textId="77777777" w:rsidTr="00DA785E">
        <w:trPr>
          <w:trHeight w:val="252"/>
        </w:trPr>
        <w:tc>
          <w:tcPr>
            <w:tcW w:w="9101" w:type="dxa"/>
            <w:gridSpan w:val="2"/>
          </w:tcPr>
          <w:p w14:paraId="64901D0B" w14:textId="2A3B5806" w:rsidR="001815D9" w:rsidRPr="00643EF0" w:rsidRDefault="001815D9" w:rsidP="001815D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 xml:space="preserve">Immunrendszeri betegségek és tünetek </w:t>
            </w:r>
          </w:p>
        </w:tc>
      </w:tr>
      <w:tr w:rsidR="001815D9" w:rsidRPr="00643EF0" w14:paraId="70C60941" w14:textId="77777777" w:rsidTr="00DA785E">
        <w:trPr>
          <w:trHeight w:val="322"/>
        </w:trPr>
        <w:tc>
          <w:tcPr>
            <w:tcW w:w="1803" w:type="dxa"/>
          </w:tcPr>
          <w:p w14:paraId="16982BDD" w14:textId="0630A814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</w:t>
            </w:r>
          </w:p>
        </w:tc>
        <w:tc>
          <w:tcPr>
            <w:tcW w:w="7298" w:type="dxa"/>
          </w:tcPr>
          <w:p w14:paraId="66D76838" w14:textId="4D1009B8" w:rsidR="001815D9" w:rsidRPr="00643EF0" w:rsidRDefault="00B1348C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Allergiás reakció </w:t>
            </w:r>
          </w:p>
        </w:tc>
      </w:tr>
      <w:tr w:rsidR="008F37D3" w:rsidRPr="00643EF0" w14:paraId="18D98C20" w14:textId="77777777" w:rsidTr="00DA785E">
        <w:trPr>
          <w:trHeight w:val="252"/>
        </w:trPr>
        <w:tc>
          <w:tcPr>
            <w:tcW w:w="1803" w:type="dxa"/>
          </w:tcPr>
          <w:p w14:paraId="54900002" w14:textId="07878CD0" w:rsidR="008F37D3" w:rsidRPr="00643EF0" w:rsidRDefault="008F37D3" w:rsidP="008F3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lastRenderedPageBreak/>
              <w:t xml:space="preserve">Ritka: </w:t>
            </w:r>
          </w:p>
        </w:tc>
        <w:tc>
          <w:tcPr>
            <w:tcW w:w="7298" w:type="dxa"/>
          </w:tcPr>
          <w:p w14:paraId="335D2ECF" w14:textId="67629338" w:rsidR="008F37D3" w:rsidRPr="00643EF0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82217D">
              <w:rPr>
                <w:color w:val="000000"/>
                <w:szCs w:val="22"/>
                <w:lang w:val="hu"/>
              </w:rPr>
              <w:t>Angiooedema</w:t>
            </w:r>
            <w:proofErr w:type="spellEnd"/>
            <w:r w:rsidRPr="0082217D">
              <w:rPr>
                <w:color w:val="000000"/>
                <w:szCs w:val="22"/>
                <w:lang w:val="hu"/>
              </w:rPr>
              <w:t xml:space="preserve">*, </w:t>
            </w:r>
            <w:proofErr w:type="spellStart"/>
            <w:r w:rsidRPr="0082217D">
              <w:rPr>
                <w:color w:val="000000"/>
                <w:szCs w:val="22"/>
                <w:lang w:val="hu"/>
              </w:rPr>
              <w:t>anaphylaxiás</w:t>
            </w:r>
            <w:proofErr w:type="spellEnd"/>
            <w:r w:rsidRPr="0082217D">
              <w:rPr>
                <w:color w:val="000000"/>
                <w:szCs w:val="22"/>
                <w:lang w:val="hu"/>
              </w:rPr>
              <w:t xml:space="preserve"> reakció*</w:t>
            </w:r>
          </w:p>
        </w:tc>
      </w:tr>
      <w:tr w:rsidR="0074667F" w:rsidRPr="00643EF0" w14:paraId="324BC9B2" w14:textId="77777777" w:rsidTr="00DA785E">
        <w:trPr>
          <w:trHeight w:val="252"/>
        </w:trPr>
        <w:tc>
          <w:tcPr>
            <w:tcW w:w="9101" w:type="dxa"/>
            <w:gridSpan w:val="2"/>
          </w:tcPr>
          <w:p w14:paraId="5AEC3220" w14:textId="77777777" w:rsidR="0074667F" w:rsidRPr="00643EF0" w:rsidRDefault="0074667F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2"/>
              </w:rPr>
            </w:pPr>
          </w:p>
        </w:tc>
      </w:tr>
      <w:tr w:rsidR="001815D9" w:rsidRPr="00643EF0" w14:paraId="5E1FA3C6" w14:textId="77777777" w:rsidTr="00215D6F">
        <w:trPr>
          <w:trHeight w:val="252"/>
        </w:trPr>
        <w:tc>
          <w:tcPr>
            <w:tcW w:w="9101" w:type="dxa"/>
            <w:gridSpan w:val="2"/>
          </w:tcPr>
          <w:p w14:paraId="21E80BF6" w14:textId="778D0B18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Endokrin betegségek és tünetek</w:t>
            </w:r>
          </w:p>
        </w:tc>
      </w:tr>
      <w:tr w:rsidR="001815D9" w:rsidRPr="00643EF0" w14:paraId="43DB8DA1" w14:textId="77777777" w:rsidTr="00215D6F">
        <w:trPr>
          <w:trHeight w:val="252"/>
        </w:trPr>
        <w:tc>
          <w:tcPr>
            <w:tcW w:w="1803" w:type="dxa"/>
          </w:tcPr>
          <w:p w14:paraId="351B4E11" w14:textId="0B83F3E2" w:rsidR="001815D9" w:rsidRPr="00643EF0" w:rsidRDefault="0042330A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Nem gyakori: </w:t>
            </w:r>
          </w:p>
        </w:tc>
        <w:tc>
          <w:tcPr>
            <w:tcW w:w="7298" w:type="dxa"/>
          </w:tcPr>
          <w:p w14:paraId="738EAEF9" w14:textId="24C4DB23" w:rsidR="001815D9" w:rsidRPr="00643EF0" w:rsidRDefault="00DD1D4F" w:rsidP="00DD1D4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Hyperthyreosis</w:t>
            </w:r>
            <w:proofErr w:type="spellEnd"/>
          </w:p>
        </w:tc>
      </w:tr>
      <w:tr w:rsidR="0095673E" w:rsidRPr="00643EF0" w14:paraId="11D34111" w14:textId="77777777" w:rsidTr="00215D6F">
        <w:trPr>
          <w:trHeight w:val="252"/>
        </w:trPr>
        <w:tc>
          <w:tcPr>
            <w:tcW w:w="1803" w:type="dxa"/>
          </w:tcPr>
          <w:p w14:paraId="55CFFA0C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26B8925A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1815D9" w:rsidRPr="00643EF0" w14:paraId="04478467" w14:textId="77777777" w:rsidTr="00215D6F">
        <w:trPr>
          <w:trHeight w:val="252"/>
        </w:trPr>
        <w:tc>
          <w:tcPr>
            <w:tcW w:w="9101" w:type="dxa"/>
            <w:gridSpan w:val="2"/>
          </w:tcPr>
          <w:p w14:paraId="58D5270A" w14:textId="54D43EB0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Anyagcsere- és táplálkozási betegségek és tünetek</w:t>
            </w:r>
          </w:p>
        </w:tc>
      </w:tr>
      <w:tr w:rsidR="0013384E" w:rsidRPr="00643EF0" w14:paraId="247F2E70" w14:textId="77777777" w:rsidTr="00215D6F">
        <w:trPr>
          <w:trHeight w:val="252"/>
        </w:trPr>
        <w:tc>
          <w:tcPr>
            <w:tcW w:w="1803" w:type="dxa"/>
          </w:tcPr>
          <w:p w14:paraId="78E1BE9A" w14:textId="56B7432D" w:rsidR="0013384E" w:rsidRPr="00643EF0" w:rsidRDefault="000D15E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075A0BB1" w14:textId="76FB9F27" w:rsidR="0013384E" w:rsidRPr="00643EF0" w:rsidRDefault="009B1418" w:rsidP="0074667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Perifériás </w:t>
            </w:r>
            <w:proofErr w:type="spellStart"/>
            <w:r w:rsidRPr="00643EF0">
              <w:rPr>
                <w:szCs w:val="22"/>
                <w:lang w:val="hu"/>
              </w:rPr>
              <w:t>oedema</w:t>
            </w:r>
            <w:proofErr w:type="spellEnd"/>
            <w:r w:rsidRPr="00643EF0">
              <w:rPr>
                <w:szCs w:val="22"/>
                <w:lang w:val="hu"/>
              </w:rPr>
              <w:t xml:space="preserve">, anorexia, szomjúság, étvágynövekedés, </w:t>
            </w:r>
            <w:proofErr w:type="spellStart"/>
            <w:r w:rsidRPr="00643EF0">
              <w:rPr>
                <w:szCs w:val="22"/>
                <w:lang w:val="hu"/>
              </w:rPr>
              <w:t>hypokalaemia</w:t>
            </w:r>
            <w:proofErr w:type="spellEnd"/>
          </w:p>
        </w:tc>
      </w:tr>
      <w:tr w:rsidR="0095673E" w:rsidRPr="00643EF0" w14:paraId="258F9506" w14:textId="77777777" w:rsidTr="00215D6F">
        <w:trPr>
          <w:trHeight w:val="237"/>
        </w:trPr>
        <w:tc>
          <w:tcPr>
            <w:tcW w:w="1803" w:type="dxa"/>
          </w:tcPr>
          <w:p w14:paraId="66709130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077EC671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1815D9" w:rsidRPr="00643EF0" w14:paraId="16F1BF06" w14:textId="77777777" w:rsidTr="00215D6F">
        <w:trPr>
          <w:trHeight w:val="252"/>
        </w:trPr>
        <w:tc>
          <w:tcPr>
            <w:tcW w:w="9101" w:type="dxa"/>
            <w:gridSpan w:val="2"/>
          </w:tcPr>
          <w:p w14:paraId="181FCC6A" w14:textId="69000F3C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Pszichiátriai kórképek</w:t>
            </w:r>
          </w:p>
        </w:tc>
      </w:tr>
      <w:tr w:rsidR="001815D9" w:rsidRPr="00643EF0" w14:paraId="5C8518CD" w14:textId="77777777" w:rsidTr="00215D6F">
        <w:trPr>
          <w:trHeight w:val="252"/>
        </w:trPr>
        <w:tc>
          <w:tcPr>
            <w:tcW w:w="1803" w:type="dxa"/>
          </w:tcPr>
          <w:p w14:paraId="533A0BB7" w14:textId="41DAF17B" w:rsidR="001815D9" w:rsidRPr="00643EF0" w:rsidRDefault="001D2FB4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74E050B5" w14:textId="2EE3C3BD" w:rsidR="001815D9" w:rsidRPr="00643EF0" w:rsidRDefault="001D2FB4" w:rsidP="000D15E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Idegesség, depresszió, szorongás</w:t>
            </w:r>
          </w:p>
        </w:tc>
      </w:tr>
      <w:tr w:rsidR="001815D9" w:rsidRPr="00643EF0" w14:paraId="3A10C4BB" w14:textId="77777777" w:rsidTr="00215D6F">
        <w:trPr>
          <w:trHeight w:val="504"/>
        </w:trPr>
        <w:tc>
          <w:tcPr>
            <w:tcW w:w="1803" w:type="dxa"/>
          </w:tcPr>
          <w:p w14:paraId="791563A2" w14:textId="18FEB8EF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449C4506" w14:textId="5756E62E" w:rsidR="001815D9" w:rsidRPr="00643EF0" w:rsidRDefault="00CA084A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Érzelmi labilitás, csökkent nemi vágy, zavartság, izgatottság, hallucinációk, álmatlanság, apátia, eufória</w:t>
            </w:r>
          </w:p>
        </w:tc>
      </w:tr>
      <w:tr w:rsidR="008F37D3" w:rsidRPr="00643EF0" w14:paraId="6FE27D64" w14:textId="77777777" w:rsidTr="00215D6F">
        <w:trPr>
          <w:trHeight w:val="504"/>
        </w:trPr>
        <w:tc>
          <w:tcPr>
            <w:tcW w:w="1803" w:type="dxa"/>
          </w:tcPr>
          <w:p w14:paraId="501A6CA1" w14:textId="3E841F10" w:rsidR="008F37D3" w:rsidRPr="00643EF0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Ritka:</w:t>
            </w:r>
          </w:p>
        </w:tc>
        <w:tc>
          <w:tcPr>
            <w:tcW w:w="7298" w:type="dxa"/>
          </w:tcPr>
          <w:p w14:paraId="20C63B6D" w14:textId="0DE9B372" w:rsidR="008F37D3" w:rsidRPr="0082217D" w:rsidRDefault="008F37D3" w:rsidP="00D5657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 xml:space="preserve">Ingerlékenység*, agresszió*, nyugtalanság*, téveszme*, düh*, rendellenes viselkedés (amnéziával is </w:t>
            </w:r>
            <w:proofErr w:type="gramStart"/>
            <w:r w:rsidRPr="0082217D">
              <w:rPr>
                <w:color w:val="000000"/>
                <w:szCs w:val="22"/>
                <w:lang w:val="hu"/>
              </w:rPr>
              <w:t>járhat)*</w:t>
            </w:r>
            <w:proofErr w:type="gramEnd"/>
            <w:r w:rsidRPr="0082217D">
              <w:rPr>
                <w:color w:val="000000"/>
                <w:szCs w:val="22"/>
                <w:lang w:val="hu"/>
              </w:rPr>
              <w:t xml:space="preserve"> és alvajárás (lásd 4.4 pont)</w:t>
            </w:r>
          </w:p>
        </w:tc>
      </w:tr>
      <w:tr w:rsidR="008F37D3" w:rsidRPr="00643EF0" w14:paraId="7E379011" w14:textId="77777777" w:rsidTr="00215D6F">
        <w:trPr>
          <w:trHeight w:val="237"/>
        </w:trPr>
        <w:tc>
          <w:tcPr>
            <w:tcW w:w="1803" w:type="dxa"/>
          </w:tcPr>
          <w:p w14:paraId="608A9031" w14:textId="3E413BE3" w:rsidR="008F37D3" w:rsidRPr="00643EF0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Nem ismert:</w:t>
            </w:r>
          </w:p>
        </w:tc>
        <w:tc>
          <w:tcPr>
            <w:tcW w:w="7298" w:type="dxa"/>
          </w:tcPr>
          <w:p w14:paraId="3ECA9EB6" w14:textId="5995D2F6" w:rsidR="008F37D3" w:rsidRPr="00643EF0" w:rsidRDefault="008F37D3" w:rsidP="00D56578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Függőség (lásd 4.4 pont), elvonási szindróma*, tompult érzelmek*</w:t>
            </w:r>
          </w:p>
        </w:tc>
      </w:tr>
      <w:tr w:rsidR="0095673E" w:rsidRPr="00643EF0" w14:paraId="0C219473" w14:textId="77777777" w:rsidTr="00215D6F">
        <w:trPr>
          <w:trHeight w:val="252"/>
        </w:trPr>
        <w:tc>
          <w:tcPr>
            <w:tcW w:w="1803" w:type="dxa"/>
          </w:tcPr>
          <w:p w14:paraId="740C5266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17C2180E" w14:textId="77777777" w:rsidR="0095673E" w:rsidRPr="00643EF0" w:rsidRDefault="0095673E" w:rsidP="006949C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1815D9" w:rsidRPr="00643EF0" w14:paraId="2429D307" w14:textId="77777777" w:rsidTr="00215D6F">
        <w:trPr>
          <w:trHeight w:val="252"/>
        </w:trPr>
        <w:tc>
          <w:tcPr>
            <w:tcW w:w="9101" w:type="dxa"/>
            <w:gridSpan w:val="2"/>
          </w:tcPr>
          <w:p w14:paraId="7F0955B4" w14:textId="35856863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Idegrendszeri betegségek és tünetek</w:t>
            </w:r>
          </w:p>
        </w:tc>
      </w:tr>
      <w:tr w:rsidR="001815D9" w:rsidRPr="00643EF0" w14:paraId="3BF19C17" w14:textId="77777777" w:rsidTr="00215D6F">
        <w:trPr>
          <w:trHeight w:val="252"/>
        </w:trPr>
        <w:tc>
          <w:tcPr>
            <w:tcW w:w="1803" w:type="dxa"/>
          </w:tcPr>
          <w:p w14:paraId="739177F3" w14:textId="5CF42D21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Nagyon gyakori:</w:t>
            </w:r>
          </w:p>
        </w:tc>
        <w:tc>
          <w:tcPr>
            <w:tcW w:w="7298" w:type="dxa"/>
          </w:tcPr>
          <w:p w14:paraId="2EB39F43" w14:textId="2BA6CEBE" w:rsidR="001815D9" w:rsidRPr="00643EF0" w:rsidRDefault="001815D9" w:rsidP="005234D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Dysgeusia</w:t>
            </w:r>
            <w:proofErr w:type="spellEnd"/>
            <w:r w:rsidRPr="00643EF0">
              <w:rPr>
                <w:szCs w:val="22"/>
                <w:lang w:val="hu"/>
              </w:rPr>
              <w:t xml:space="preserve"> (ízérzészavar) </w:t>
            </w:r>
          </w:p>
        </w:tc>
      </w:tr>
      <w:tr w:rsidR="001815D9" w:rsidRPr="00643EF0" w14:paraId="574D117D" w14:textId="77777777" w:rsidTr="00215D6F">
        <w:trPr>
          <w:trHeight w:val="504"/>
        </w:trPr>
        <w:tc>
          <w:tcPr>
            <w:tcW w:w="1803" w:type="dxa"/>
          </w:tcPr>
          <w:p w14:paraId="3EFDF486" w14:textId="33DE0E74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2F9A8E2D" w14:textId="01AEDD0E" w:rsidR="001D2FB4" w:rsidRPr="00643EF0" w:rsidRDefault="005234D1" w:rsidP="00FA68D6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Fejfájás, aluszékonyság, szédülés, rendellenes álmok, memóriakárosodás, rendellenes gondolkodás </w:t>
            </w:r>
          </w:p>
        </w:tc>
      </w:tr>
      <w:tr w:rsidR="001815D9" w:rsidRPr="00643EF0" w14:paraId="13492DBE" w14:textId="77777777" w:rsidTr="00215D6F">
        <w:trPr>
          <w:trHeight w:val="490"/>
        </w:trPr>
        <w:tc>
          <w:tcPr>
            <w:tcW w:w="1803" w:type="dxa"/>
          </w:tcPr>
          <w:p w14:paraId="266BB5DF" w14:textId="0C7ADC80" w:rsidR="001815D9" w:rsidRPr="00643EF0" w:rsidRDefault="001815D9" w:rsidP="001815D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0D2D05EE" w14:textId="5FFA8327" w:rsidR="001815D9" w:rsidRPr="00643EF0" w:rsidRDefault="00172DFA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Vertigo, </w:t>
            </w:r>
            <w:proofErr w:type="spellStart"/>
            <w:r w:rsidRPr="00643EF0">
              <w:rPr>
                <w:szCs w:val="22"/>
                <w:lang w:val="hu"/>
              </w:rPr>
              <w:t>ataxia</w:t>
            </w:r>
            <w:proofErr w:type="spellEnd"/>
            <w:r w:rsidRPr="00643EF0">
              <w:rPr>
                <w:szCs w:val="22"/>
                <w:lang w:val="hu"/>
              </w:rPr>
              <w:t xml:space="preserve">, a járás rendellenessége, koordinációzavar, </w:t>
            </w:r>
            <w:proofErr w:type="spellStart"/>
            <w:r w:rsidRPr="00643EF0">
              <w:rPr>
                <w:szCs w:val="22"/>
                <w:lang w:val="hu"/>
              </w:rPr>
              <w:t>hypokinesia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paraesthesia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stupor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tremor</w:t>
            </w:r>
            <w:proofErr w:type="spellEnd"/>
          </w:p>
        </w:tc>
      </w:tr>
      <w:tr w:rsidR="001815D9" w:rsidRPr="00643EF0" w14:paraId="5172DAC7" w14:textId="77777777" w:rsidTr="00215D6F">
        <w:trPr>
          <w:trHeight w:val="252"/>
        </w:trPr>
        <w:tc>
          <w:tcPr>
            <w:tcW w:w="1803" w:type="dxa"/>
          </w:tcPr>
          <w:p w14:paraId="06A68A80" w14:textId="00C7DA87" w:rsidR="001815D9" w:rsidRPr="00643EF0" w:rsidRDefault="008603BB" w:rsidP="001815D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ismert:</w:t>
            </w:r>
          </w:p>
        </w:tc>
        <w:tc>
          <w:tcPr>
            <w:tcW w:w="7298" w:type="dxa"/>
          </w:tcPr>
          <w:p w14:paraId="3E1BF42B" w14:textId="10358F6B" w:rsidR="001815D9" w:rsidRPr="00643EF0" w:rsidRDefault="00B1348C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82217D">
              <w:rPr>
                <w:szCs w:val="22"/>
                <w:lang w:val="hu"/>
              </w:rPr>
              <w:t>Dysosmia</w:t>
            </w:r>
            <w:proofErr w:type="spellEnd"/>
            <w:r w:rsidRPr="0082217D">
              <w:rPr>
                <w:szCs w:val="22"/>
                <w:lang w:val="hu"/>
              </w:rPr>
              <w:t xml:space="preserve">, </w:t>
            </w:r>
            <w:r w:rsidRPr="0082217D">
              <w:rPr>
                <w:color w:val="000000"/>
                <w:szCs w:val="22"/>
                <w:lang w:val="hu"/>
              </w:rPr>
              <w:t>figyelemzavar*, meghosszabbodott reakcióidő*</w:t>
            </w:r>
          </w:p>
        </w:tc>
      </w:tr>
      <w:tr w:rsidR="0095673E" w:rsidRPr="00643EF0" w14:paraId="42934060" w14:textId="77777777" w:rsidTr="00215D6F">
        <w:trPr>
          <w:trHeight w:val="252"/>
        </w:trPr>
        <w:tc>
          <w:tcPr>
            <w:tcW w:w="1803" w:type="dxa"/>
          </w:tcPr>
          <w:p w14:paraId="0047BD7A" w14:textId="77777777" w:rsidR="0095673E" w:rsidRPr="00643EF0" w:rsidRDefault="0095673E" w:rsidP="001815D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5B3CB25B" w14:textId="2C387058" w:rsidR="0095673E" w:rsidRPr="0082217D" w:rsidRDefault="0095673E" w:rsidP="008F3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1815D9" w:rsidRPr="00643EF0" w14:paraId="0A99A054" w14:textId="77777777" w:rsidTr="00215D6F">
        <w:trPr>
          <w:trHeight w:val="252"/>
        </w:trPr>
        <w:tc>
          <w:tcPr>
            <w:tcW w:w="9101" w:type="dxa"/>
            <w:gridSpan w:val="2"/>
          </w:tcPr>
          <w:p w14:paraId="0E9BD07A" w14:textId="3E21720F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Szembetegségek és szemészeti tünetek</w:t>
            </w:r>
          </w:p>
        </w:tc>
      </w:tr>
      <w:tr w:rsidR="008F37D3" w:rsidRPr="00643EF0" w14:paraId="49A67A00" w14:textId="77777777" w:rsidTr="00215D6F">
        <w:trPr>
          <w:trHeight w:val="252"/>
        </w:trPr>
        <w:tc>
          <w:tcPr>
            <w:tcW w:w="1803" w:type="dxa"/>
          </w:tcPr>
          <w:p w14:paraId="0292D1B8" w14:textId="19A1BF99" w:rsidR="008F37D3" w:rsidRPr="00643EF0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</w:t>
            </w:r>
          </w:p>
        </w:tc>
        <w:tc>
          <w:tcPr>
            <w:tcW w:w="7298" w:type="dxa"/>
          </w:tcPr>
          <w:p w14:paraId="558425AE" w14:textId="3E175446" w:rsidR="008F37D3" w:rsidRPr="00643EF0" w:rsidRDefault="008F37D3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Homályos látás (főleg idős betegeknél)</w:t>
            </w:r>
          </w:p>
        </w:tc>
      </w:tr>
      <w:tr w:rsidR="008D0B80" w:rsidRPr="00643EF0" w14:paraId="4D9604C6" w14:textId="77777777" w:rsidTr="00215D6F">
        <w:trPr>
          <w:trHeight w:val="252"/>
        </w:trPr>
        <w:tc>
          <w:tcPr>
            <w:tcW w:w="1803" w:type="dxa"/>
          </w:tcPr>
          <w:p w14:paraId="738E2B4B" w14:textId="62FBA86C" w:rsidR="008D0B80" w:rsidRPr="00643EF0" w:rsidRDefault="000D15E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301FC359" w14:textId="3F9B3CC9" w:rsidR="008D0B80" w:rsidRPr="00643EF0" w:rsidRDefault="00B1348C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Száraz szem</w:t>
            </w:r>
          </w:p>
        </w:tc>
      </w:tr>
      <w:tr w:rsidR="0095673E" w:rsidRPr="00643EF0" w14:paraId="50863978" w14:textId="77777777" w:rsidTr="00215D6F">
        <w:trPr>
          <w:trHeight w:val="252"/>
        </w:trPr>
        <w:tc>
          <w:tcPr>
            <w:tcW w:w="1803" w:type="dxa"/>
          </w:tcPr>
          <w:p w14:paraId="7C812F91" w14:textId="7D0D6F80" w:rsidR="0095673E" w:rsidRPr="00643EF0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Nem ismert:</w:t>
            </w:r>
          </w:p>
        </w:tc>
        <w:tc>
          <w:tcPr>
            <w:tcW w:w="7298" w:type="dxa"/>
          </w:tcPr>
          <w:p w14:paraId="030ACDCF" w14:textId="2008D893" w:rsidR="0095673E" w:rsidRPr="00643EF0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82217D">
              <w:rPr>
                <w:color w:val="000000"/>
                <w:szCs w:val="22"/>
                <w:lang w:val="hu"/>
              </w:rPr>
              <w:t>Diplopia</w:t>
            </w:r>
            <w:proofErr w:type="spellEnd"/>
            <w:r w:rsidRPr="0082217D">
              <w:rPr>
                <w:color w:val="000000"/>
                <w:szCs w:val="22"/>
                <w:lang w:val="hu"/>
              </w:rPr>
              <w:t>*</w:t>
            </w:r>
          </w:p>
        </w:tc>
      </w:tr>
      <w:tr w:rsidR="008F37D3" w:rsidRPr="00643EF0" w14:paraId="3CCF9688" w14:textId="77777777" w:rsidTr="00215D6F">
        <w:trPr>
          <w:trHeight w:val="252"/>
        </w:trPr>
        <w:tc>
          <w:tcPr>
            <w:tcW w:w="1803" w:type="dxa"/>
          </w:tcPr>
          <w:p w14:paraId="263AFE52" w14:textId="77777777" w:rsidR="008F37D3" w:rsidRPr="0082217D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7298" w:type="dxa"/>
          </w:tcPr>
          <w:p w14:paraId="403B44EA" w14:textId="77777777" w:rsidR="008F37D3" w:rsidRPr="00A2123E" w:rsidRDefault="008F37D3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</w:tc>
      </w:tr>
      <w:tr w:rsidR="001815D9" w:rsidRPr="00643EF0" w14:paraId="34CB731F" w14:textId="77777777" w:rsidTr="00215D6F">
        <w:trPr>
          <w:trHeight w:val="237"/>
        </w:trPr>
        <w:tc>
          <w:tcPr>
            <w:tcW w:w="9101" w:type="dxa"/>
            <w:gridSpan w:val="2"/>
          </w:tcPr>
          <w:p w14:paraId="76264253" w14:textId="620EAA61" w:rsidR="001815D9" w:rsidRPr="00643EF0" w:rsidRDefault="001815D9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A fül és az egyensúlyérzékelő szerv betegségei és tünetei</w:t>
            </w:r>
          </w:p>
        </w:tc>
      </w:tr>
      <w:tr w:rsidR="001815D9" w:rsidRPr="00643EF0" w14:paraId="0E239719" w14:textId="77777777" w:rsidTr="00215D6F">
        <w:trPr>
          <w:trHeight w:val="252"/>
        </w:trPr>
        <w:tc>
          <w:tcPr>
            <w:tcW w:w="1803" w:type="dxa"/>
          </w:tcPr>
          <w:p w14:paraId="1A932E3E" w14:textId="3C2A821E" w:rsidR="001815D9" w:rsidRPr="00643EF0" w:rsidRDefault="008D0B80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1B61B32D" w14:textId="0B73DB6E" w:rsidR="001815D9" w:rsidRPr="00643EF0" w:rsidRDefault="008D0B80" w:rsidP="0028435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Tinnitus</w:t>
            </w:r>
            <w:proofErr w:type="spellEnd"/>
            <w:r w:rsidRPr="00643EF0">
              <w:rPr>
                <w:szCs w:val="22"/>
                <w:lang w:val="hu"/>
              </w:rPr>
              <w:t>, fülfájás</w:t>
            </w:r>
          </w:p>
        </w:tc>
      </w:tr>
      <w:tr w:rsidR="0095673E" w:rsidRPr="00643EF0" w14:paraId="04B85AB0" w14:textId="77777777" w:rsidTr="00215D6F">
        <w:trPr>
          <w:trHeight w:val="252"/>
        </w:trPr>
        <w:tc>
          <w:tcPr>
            <w:tcW w:w="1803" w:type="dxa"/>
          </w:tcPr>
          <w:p w14:paraId="27A5695E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0FC7F2C0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2CA9B327" w14:textId="77777777" w:rsidTr="00215D6F">
        <w:trPr>
          <w:trHeight w:val="252"/>
        </w:trPr>
        <w:tc>
          <w:tcPr>
            <w:tcW w:w="9101" w:type="dxa"/>
            <w:gridSpan w:val="2"/>
          </w:tcPr>
          <w:p w14:paraId="33D5D06D" w14:textId="005081AA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Érbetegségek és tünetek</w:t>
            </w:r>
          </w:p>
        </w:tc>
      </w:tr>
      <w:tr w:rsidR="008D2D2B" w:rsidRPr="00643EF0" w14:paraId="7DEB13F7" w14:textId="77777777" w:rsidTr="00215D6F">
        <w:trPr>
          <w:trHeight w:val="252"/>
        </w:trPr>
        <w:tc>
          <w:tcPr>
            <w:tcW w:w="1803" w:type="dxa"/>
          </w:tcPr>
          <w:p w14:paraId="054AA993" w14:textId="0A245228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1C582E0B" w14:textId="4086F45C" w:rsidR="008D2D2B" w:rsidRPr="00643EF0" w:rsidRDefault="00B1348C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Migrén </w:t>
            </w:r>
          </w:p>
        </w:tc>
      </w:tr>
      <w:tr w:rsidR="008D2D2B" w:rsidRPr="00643EF0" w14:paraId="2278DD22" w14:textId="77777777" w:rsidTr="00215D6F">
        <w:trPr>
          <w:trHeight w:val="252"/>
        </w:trPr>
        <w:tc>
          <w:tcPr>
            <w:tcW w:w="1803" w:type="dxa"/>
          </w:tcPr>
          <w:p w14:paraId="3E69DEDF" w14:textId="200CA45A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7E97D950" w14:textId="535BF9F9" w:rsidR="008D2D2B" w:rsidRPr="00643EF0" w:rsidRDefault="00F16E0F" w:rsidP="00EA195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Hypertonia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syncope</w:t>
            </w:r>
            <w:proofErr w:type="spellEnd"/>
            <w:r w:rsidRPr="00643EF0">
              <w:rPr>
                <w:szCs w:val="22"/>
                <w:lang w:val="hu"/>
              </w:rPr>
              <w:t xml:space="preserve"> </w:t>
            </w:r>
          </w:p>
        </w:tc>
      </w:tr>
      <w:tr w:rsidR="0095673E" w:rsidRPr="00643EF0" w14:paraId="1B87F5BC" w14:textId="77777777" w:rsidTr="00215D6F">
        <w:trPr>
          <w:trHeight w:val="252"/>
        </w:trPr>
        <w:tc>
          <w:tcPr>
            <w:tcW w:w="1803" w:type="dxa"/>
          </w:tcPr>
          <w:p w14:paraId="24A4FC08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68659166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7679EDC7" w14:textId="77777777" w:rsidTr="00215D6F">
        <w:trPr>
          <w:trHeight w:val="237"/>
        </w:trPr>
        <w:tc>
          <w:tcPr>
            <w:tcW w:w="9101" w:type="dxa"/>
            <w:gridSpan w:val="2"/>
          </w:tcPr>
          <w:p w14:paraId="6C8CF402" w14:textId="44A7031F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 xml:space="preserve">Légzőrendszeri, mellkasi és </w:t>
            </w:r>
            <w:proofErr w:type="spellStart"/>
            <w:r w:rsidRPr="00643EF0">
              <w:rPr>
                <w:b/>
                <w:bCs/>
                <w:szCs w:val="22"/>
                <w:lang w:val="hu"/>
              </w:rPr>
              <w:t>mediastinalis</w:t>
            </w:r>
            <w:proofErr w:type="spellEnd"/>
            <w:r w:rsidRPr="00643EF0">
              <w:rPr>
                <w:b/>
                <w:bCs/>
                <w:szCs w:val="22"/>
                <w:lang w:val="hu"/>
              </w:rPr>
              <w:t xml:space="preserve"> betegségek és tünetek</w:t>
            </w:r>
          </w:p>
        </w:tc>
      </w:tr>
      <w:tr w:rsidR="008D2D2B" w:rsidRPr="00643EF0" w14:paraId="0AB7017F" w14:textId="77777777" w:rsidTr="00215D6F">
        <w:trPr>
          <w:trHeight w:val="252"/>
        </w:trPr>
        <w:tc>
          <w:tcPr>
            <w:tcW w:w="1803" w:type="dxa"/>
          </w:tcPr>
          <w:p w14:paraId="3EA3F1A4" w14:textId="4D2400E4" w:rsidR="008D2D2B" w:rsidRPr="00643EF0" w:rsidRDefault="00565CE0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3279EE48" w14:textId="1EB26A1B" w:rsidR="008D2D2B" w:rsidRPr="00643EF0" w:rsidRDefault="00B1348C" w:rsidP="00F72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Pharyngitis</w:t>
            </w:r>
            <w:proofErr w:type="spellEnd"/>
            <w:r w:rsidRPr="00643EF0">
              <w:rPr>
                <w:szCs w:val="22"/>
                <w:lang w:val="hu"/>
              </w:rPr>
              <w:t xml:space="preserve"> </w:t>
            </w:r>
          </w:p>
        </w:tc>
      </w:tr>
      <w:tr w:rsidR="008D2D2B" w:rsidRPr="00643EF0" w14:paraId="42C28347" w14:textId="77777777" w:rsidTr="00215D6F">
        <w:trPr>
          <w:trHeight w:val="252"/>
        </w:trPr>
        <w:tc>
          <w:tcPr>
            <w:tcW w:w="1803" w:type="dxa"/>
          </w:tcPr>
          <w:p w14:paraId="29C1279A" w14:textId="44BA977C" w:rsidR="008D2D2B" w:rsidRPr="00643EF0" w:rsidRDefault="00565CE0" w:rsidP="00565C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7218F6D7" w14:textId="1796F9F4" w:rsidR="008D2D2B" w:rsidRPr="00643EF0" w:rsidRDefault="00F72E52" w:rsidP="00F72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Dyspnoe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rhinitis</w:t>
            </w:r>
            <w:proofErr w:type="spellEnd"/>
            <w:r w:rsidRPr="00643EF0">
              <w:rPr>
                <w:szCs w:val="22"/>
                <w:lang w:val="hu"/>
              </w:rPr>
              <w:t xml:space="preserve">, csuklás </w:t>
            </w:r>
          </w:p>
        </w:tc>
      </w:tr>
      <w:tr w:rsidR="003D6DE8" w:rsidRPr="00643EF0" w14:paraId="3B1DDB18" w14:textId="77777777" w:rsidTr="00215D6F">
        <w:trPr>
          <w:trHeight w:val="252"/>
        </w:trPr>
        <w:tc>
          <w:tcPr>
            <w:tcW w:w="1803" w:type="dxa"/>
          </w:tcPr>
          <w:p w14:paraId="688D96AB" w14:textId="37CEE5F0" w:rsidR="003D6DE8" w:rsidRPr="00643EF0" w:rsidRDefault="003D6DE8" w:rsidP="00565C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Nem ismert:</w:t>
            </w:r>
          </w:p>
        </w:tc>
        <w:tc>
          <w:tcPr>
            <w:tcW w:w="7298" w:type="dxa"/>
          </w:tcPr>
          <w:p w14:paraId="1ADA1329" w14:textId="546E8B6B" w:rsidR="003D6DE8" w:rsidRPr="00643EF0" w:rsidRDefault="003D6DE8" w:rsidP="00F72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Légzésdepresszió (lásd 4.4 </w:t>
            </w:r>
            <w:proofErr w:type="gramStart"/>
            <w:r w:rsidRPr="0082217D">
              <w:rPr>
                <w:color w:val="000000"/>
                <w:szCs w:val="22"/>
                <w:lang w:val="hu"/>
              </w:rPr>
              <w:t>pont)*</w:t>
            </w:r>
            <w:proofErr w:type="gramEnd"/>
          </w:p>
        </w:tc>
      </w:tr>
      <w:tr w:rsidR="0095673E" w:rsidRPr="00643EF0" w14:paraId="7736ECC0" w14:textId="77777777" w:rsidTr="00215D6F">
        <w:trPr>
          <w:trHeight w:val="252"/>
        </w:trPr>
        <w:tc>
          <w:tcPr>
            <w:tcW w:w="1803" w:type="dxa"/>
          </w:tcPr>
          <w:p w14:paraId="66BC0B6C" w14:textId="77777777" w:rsidR="0095673E" w:rsidRPr="00643EF0" w:rsidRDefault="0095673E" w:rsidP="00565C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570F0B72" w14:textId="7D3776B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7ABAF3D2" w14:textId="77777777" w:rsidTr="00215D6F">
        <w:trPr>
          <w:trHeight w:val="252"/>
        </w:trPr>
        <w:tc>
          <w:tcPr>
            <w:tcW w:w="9101" w:type="dxa"/>
            <w:gridSpan w:val="2"/>
          </w:tcPr>
          <w:p w14:paraId="562F96D9" w14:textId="6B164CF1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Emésztőrendszeri betegségek és tünetek</w:t>
            </w:r>
          </w:p>
        </w:tc>
      </w:tr>
      <w:tr w:rsidR="008D2D2B" w:rsidRPr="00643EF0" w14:paraId="251D9990" w14:textId="77777777" w:rsidTr="00215D6F">
        <w:trPr>
          <w:trHeight w:val="252"/>
        </w:trPr>
        <w:tc>
          <w:tcPr>
            <w:tcW w:w="1803" w:type="dxa"/>
          </w:tcPr>
          <w:p w14:paraId="7128BC31" w14:textId="05DF7C5D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42C89C36" w14:textId="407A5B6E" w:rsidR="008D2D2B" w:rsidRPr="00643EF0" w:rsidRDefault="001144CE" w:rsidP="00161AC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Szájszárazság, hasmenés, hányinger, </w:t>
            </w:r>
            <w:proofErr w:type="spellStart"/>
            <w:r w:rsidRPr="00643EF0">
              <w:rPr>
                <w:szCs w:val="22"/>
                <w:lang w:val="hu"/>
              </w:rPr>
              <w:t>dyspepsia</w:t>
            </w:r>
            <w:proofErr w:type="spellEnd"/>
            <w:r w:rsidRPr="00643EF0">
              <w:rPr>
                <w:szCs w:val="22"/>
                <w:lang w:val="hu"/>
              </w:rPr>
              <w:t xml:space="preserve">, hasi fájdalom, hányás </w:t>
            </w:r>
          </w:p>
        </w:tc>
      </w:tr>
      <w:tr w:rsidR="00031340" w:rsidRPr="00643EF0" w14:paraId="7EDBDCF3" w14:textId="77777777" w:rsidTr="00215D6F">
        <w:trPr>
          <w:trHeight w:val="252"/>
        </w:trPr>
        <w:tc>
          <w:tcPr>
            <w:tcW w:w="1803" w:type="dxa"/>
          </w:tcPr>
          <w:p w14:paraId="63A43A6B" w14:textId="2DDABEF7" w:rsidR="00031340" w:rsidRPr="00643EF0" w:rsidRDefault="00031340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2E61F40A" w14:textId="3BFC1E7D" w:rsidR="00031340" w:rsidRPr="00643EF0" w:rsidRDefault="00031340" w:rsidP="007D57A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Halitosis</w:t>
            </w:r>
            <w:proofErr w:type="spellEnd"/>
            <w:r w:rsidRPr="00643EF0">
              <w:rPr>
                <w:szCs w:val="22"/>
                <w:lang w:val="hu"/>
              </w:rPr>
              <w:t xml:space="preserve">, a száj fekélyesedése, </w:t>
            </w:r>
            <w:proofErr w:type="spellStart"/>
            <w:r w:rsidRPr="00643EF0">
              <w:rPr>
                <w:szCs w:val="22"/>
                <w:lang w:val="hu"/>
              </w:rPr>
              <w:t>colitis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gastroenteritis</w:t>
            </w:r>
            <w:proofErr w:type="spellEnd"/>
            <w:r w:rsidRPr="00643EF0">
              <w:rPr>
                <w:szCs w:val="22"/>
                <w:lang w:val="hu"/>
              </w:rPr>
              <w:t>, nyelvödéma</w:t>
            </w:r>
          </w:p>
        </w:tc>
      </w:tr>
      <w:tr w:rsidR="0095673E" w:rsidRPr="00643EF0" w14:paraId="5B5F090D" w14:textId="77777777" w:rsidTr="00215D6F">
        <w:trPr>
          <w:trHeight w:val="237"/>
        </w:trPr>
        <w:tc>
          <w:tcPr>
            <w:tcW w:w="1803" w:type="dxa"/>
          </w:tcPr>
          <w:p w14:paraId="3DFF66D1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0A182563" w14:textId="77777777" w:rsidR="0095673E" w:rsidRPr="00643EF0" w:rsidRDefault="0095673E" w:rsidP="00AB719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3D6DE8" w:rsidRPr="00643EF0" w14:paraId="4BDB2DDF" w14:textId="77777777" w:rsidTr="00215D6F">
        <w:trPr>
          <w:trHeight w:val="252"/>
        </w:trPr>
        <w:tc>
          <w:tcPr>
            <w:tcW w:w="9101" w:type="dxa"/>
            <w:gridSpan w:val="2"/>
          </w:tcPr>
          <w:p w14:paraId="6E72F984" w14:textId="2690797E" w:rsidR="003D6DE8" w:rsidRPr="00643EF0" w:rsidRDefault="003D6DE8" w:rsidP="00FD214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Máj- és epebetegségek, illetve tünetek</w:t>
            </w:r>
          </w:p>
        </w:tc>
      </w:tr>
      <w:tr w:rsidR="003D6DE8" w:rsidRPr="00643EF0" w14:paraId="5473F738" w14:textId="77777777" w:rsidTr="00215D6F">
        <w:trPr>
          <w:trHeight w:val="504"/>
        </w:trPr>
        <w:tc>
          <w:tcPr>
            <w:tcW w:w="1803" w:type="dxa"/>
          </w:tcPr>
          <w:p w14:paraId="7BB5DB35" w14:textId="0ADB444C" w:rsidR="003D6DE8" w:rsidRPr="00643EF0" w:rsidRDefault="003D6DE8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Nagyon ritka:</w:t>
            </w:r>
          </w:p>
        </w:tc>
        <w:tc>
          <w:tcPr>
            <w:tcW w:w="7298" w:type="dxa"/>
          </w:tcPr>
          <w:p w14:paraId="0AA76FAD" w14:textId="166A4AD7" w:rsidR="003D6DE8" w:rsidRPr="00643EF0" w:rsidRDefault="003D6DE8" w:rsidP="00A904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Enyhe</w:t>
            </w:r>
            <w:r w:rsidR="00A9040F">
              <w:rPr>
                <w:color w:val="000000"/>
                <w:szCs w:val="22"/>
                <w:lang w:val="hu"/>
              </w:rPr>
              <w:t xml:space="preserve"> vagy közepesen súlyos</w:t>
            </w:r>
            <w:r w:rsidRPr="0082217D">
              <w:rPr>
                <w:color w:val="000000"/>
                <w:szCs w:val="22"/>
                <w:lang w:val="hu"/>
              </w:rPr>
              <w:t xml:space="preserve"> mértékben emelkedett </w:t>
            </w:r>
            <w:proofErr w:type="spellStart"/>
            <w:r w:rsidRPr="0082217D">
              <w:rPr>
                <w:color w:val="000000"/>
                <w:szCs w:val="22"/>
                <w:lang w:val="hu"/>
              </w:rPr>
              <w:t>transzamináz</w:t>
            </w:r>
            <w:proofErr w:type="spellEnd"/>
            <w:r w:rsidR="00A9040F">
              <w:rPr>
                <w:color w:val="000000"/>
                <w:szCs w:val="22"/>
                <w:lang w:val="hu"/>
              </w:rPr>
              <w:t>-szintek</w:t>
            </w:r>
            <w:r w:rsidRPr="0082217D">
              <w:rPr>
                <w:color w:val="000000"/>
                <w:szCs w:val="22"/>
                <w:lang w:val="hu"/>
              </w:rPr>
              <w:t xml:space="preserve"> és/vagy alkalikus </w:t>
            </w:r>
            <w:proofErr w:type="spellStart"/>
            <w:r w:rsidRPr="0082217D">
              <w:rPr>
                <w:color w:val="000000"/>
                <w:szCs w:val="22"/>
                <w:lang w:val="hu"/>
              </w:rPr>
              <w:t>foszfatáz</w:t>
            </w:r>
            <w:r w:rsidR="00A9040F">
              <w:rPr>
                <w:color w:val="000000"/>
                <w:szCs w:val="22"/>
                <w:lang w:val="hu"/>
              </w:rPr>
              <w:t>szint</w:t>
            </w:r>
            <w:proofErr w:type="spellEnd"/>
            <w:r w:rsidRPr="0082217D">
              <w:rPr>
                <w:color w:val="000000"/>
                <w:szCs w:val="22"/>
                <w:lang w:val="hu"/>
              </w:rPr>
              <w:t xml:space="preserve"> a vérben*</w:t>
            </w:r>
          </w:p>
        </w:tc>
      </w:tr>
      <w:tr w:rsidR="003D6DE8" w:rsidRPr="00643EF0" w14:paraId="5B056446" w14:textId="77777777" w:rsidTr="00215D6F">
        <w:trPr>
          <w:trHeight w:val="252"/>
        </w:trPr>
        <w:tc>
          <w:tcPr>
            <w:tcW w:w="1803" w:type="dxa"/>
          </w:tcPr>
          <w:p w14:paraId="6E2084B4" w14:textId="77777777" w:rsidR="003D6DE8" w:rsidRPr="00643EF0" w:rsidRDefault="003D6DE8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708FE307" w14:textId="77777777" w:rsidR="003D6DE8" w:rsidRPr="00643EF0" w:rsidRDefault="003D6DE8" w:rsidP="00AB719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57683366" w14:textId="77777777" w:rsidTr="00215D6F">
        <w:trPr>
          <w:trHeight w:val="252"/>
        </w:trPr>
        <w:tc>
          <w:tcPr>
            <w:tcW w:w="9101" w:type="dxa"/>
            <w:gridSpan w:val="2"/>
          </w:tcPr>
          <w:p w14:paraId="36398320" w14:textId="643882CD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A bőr és a bőr alatti szövet betegségei és tünetei</w:t>
            </w:r>
          </w:p>
        </w:tc>
      </w:tr>
      <w:tr w:rsidR="0005596F" w:rsidRPr="00643EF0" w14:paraId="6E3D4CFA" w14:textId="77777777" w:rsidTr="00215D6F">
        <w:trPr>
          <w:trHeight w:val="252"/>
        </w:trPr>
        <w:tc>
          <w:tcPr>
            <w:tcW w:w="1803" w:type="dxa"/>
          </w:tcPr>
          <w:p w14:paraId="52594345" w14:textId="306BF73B" w:rsidR="0005596F" w:rsidRPr="00643EF0" w:rsidRDefault="0005596F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457680F0" w14:textId="06C5DC45" w:rsidR="0005596F" w:rsidRPr="00643EF0" w:rsidRDefault="00A9040F" w:rsidP="00F72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  <w:lang w:val="hu"/>
              </w:rPr>
              <w:t>Bőr</w:t>
            </w:r>
            <w:r w:rsidR="0005596F" w:rsidRPr="00643EF0">
              <w:rPr>
                <w:szCs w:val="22"/>
                <w:lang w:val="hu"/>
              </w:rPr>
              <w:t xml:space="preserve">iütés </w:t>
            </w:r>
          </w:p>
        </w:tc>
      </w:tr>
      <w:tr w:rsidR="008D2D2B" w:rsidRPr="00643EF0" w14:paraId="55767963" w14:textId="77777777" w:rsidTr="00215D6F">
        <w:trPr>
          <w:trHeight w:val="237"/>
        </w:trPr>
        <w:tc>
          <w:tcPr>
            <w:tcW w:w="1803" w:type="dxa"/>
          </w:tcPr>
          <w:p w14:paraId="5388A28D" w14:textId="5419C0BC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3BD0D48A" w14:textId="6C739444" w:rsidR="008D2D2B" w:rsidRPr="00643EF0" w:rsidRDefault="008D2D2B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Fényérzékenységi reakció, izzadás, </w:t>
            </w:r>
            <w:proofErr w:type="spellStart"/>
            <w:r w:rsidRPr="00643EF0">
              <w:rPr>
                <w:szCs w:val="22"/>
                <w:lang w:val="hu"/>
              </w:rPr>
              <w:t>acne</w:t>
            </w:r>
            <w:proofErr w:type="spellEnd"/>
            <w:r w:rsidRPr="00643EF0">
              <w:rPr>
                <w:szCs w:val="22"/>
                <w:lang w:val="hu"/>
              </w:rPr>
              <w:t>, száraz bőr, ekcéma</w:t>
            </w:r>
          </w:p>
        </w:tc>
      </w:tr>
      <w:tr w:rsidR="003D6DE8" w:rsidRPr="00643EF0" w14:paraId="3EA21CE3" w14:textId="77777777" w:rsidTr="00215D6F">
        <w:trPr>
          <w:trHeight w:val="252"/>
        </w:trPr>
        <w:tc>
          <w:tcPr>
            <w:tcW w:w="1803" w:type="dxa"/>
          </w:tcPr>
          <w:p w14:paraId="3C729F1F" w14:textId="20B49223" w:rsidR="003D6DE8" w:rsidRPr="00643EF0" w:rsidRDefault="003D6DE8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Ritka:</w:t>
            </w:r>
          </w:p>
        </w:tc>
        <w:tc>
          <w:tcPr>
            <w:tcW w:w="7298" w:type="dxa"/>
          </w:tcPr>
          <w:p w14:paraId="144F3B49" w14:textId="1B7664D5" w:rsidR="003D6DE8" w:rsidRPr="00643EF0" w:rsidRDefault="003D6DE8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Viszketés (idős betegeknél gyakori)</w:t>
            </w:r>
          </w:p>
        </w:tc>
      </w:tr>
      <w:tr w:rsidR="0095673E" w:rsidRPr="00643EF0" w14:paraId="54861262" w14:textId="77777777" w:rsidTr="00215D6F">
        <w:trPr>
          <w:trHeight w:val="252"/>
        </w:trPr>
        <w:tc>
          <w:tcPr>
            <w:tcW w:w="1803" w:type="dxa"/>
          </w:tcPr>
          <w:p w14:paraId="5721A811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4139768F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7D007893" w14:textId="77777777" w:rsidTr="00215D6F">
        <w:trPr>
          <w:trHeight w:val="252"/>
        </w:trPr>
        <w:tc>
          <w:tcPr>
            <w:tcW w:w="9101" w:type="dxa"/>
            <w:gridSpan w:val="2"/>
          </w:tcPr>
          <w:p w14:paraId="07AC6DE4" w14:textId="0B8080A7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A csont- és izomrendszer, valamint a kötőszövet betegségei és tünetei</w:t>
            </w:r>
          </w:p>
        </w:tc>
      </w:tr>
      <w:tr w:rsidR="008D2D2B" w:rsidRPr="00643EF0" w14:paraId="59C2B371" w14:textId="77777777" w:rsidTr="00215D6F">
        <w:trPr>
          <w:trHeight w:val="252"/>
        </w:trPr>
        <w:tc>
          <w:tcPr>
            <w:tcW w:w="1803" w:type="dxa"/>
          </w:tcPr>
          <w:p w14:paraId="161E9AD0" w14:textId="0649C332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2F25D755" w14:textId="2D4B8D41" w:rsidR="008D2D2B" w:rsidRPr="00643EF0" w:rsidRDefault="00B1348C" w:rsidP="00F72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Hátfájdalom, </w:t>
            </w:r>
            <w:proofErr w:type="spellStart"/>
            <w:r w:rsidRPr="00643EF0">
              <w:rPr>
                <w:szCs w:val="22"/>
                <w:lang w:val="hu"/>
              </w:rPr>
              <w:t>myalgia</w:t>
            </w:r>
            <w:proofErr w:type="spellEnd"/>
            <w:r w:rsidRPr="00643EF0">
              <w:rPr>
                <w:szCs w:val="22"/>
                <w:lang w:val="hu"/>
              </w:rPr>
              <w:t xml:space="preserve"> </w:t>
            </w:r>
          </w:p>
        </w:tc>
      </w:tr>
      <w:tr w:rsidR="008D2D2B" w:rsidRPr="00643EF0" w14:paraId="1855A8DC" w14:textId="77777777" w:rsidTr="00215D6F">
        <w:trPr>
          <w:trHeight w:val="237"/>
        </w:trPr>
        <w:tc>
          <w:tcPr>
            <w:tcW w:w="1803" w:type="dxa"/>
          </w:tcPr>
          <w:p w14:paraId="1D6ACE8B" w14:textId="68614AAE" w:rsidR="008D2D2B" w:rsidRPr="00643EF0" w:rsidRDefault="00357CB1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258271D4" w14:textId="620B9714" w:rsidR="008D2D2B" w:rsidRPr="00643EF0" w:rsidRDefault="009B1418" w:rsidP="009B1418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Lábgörcsök, izomrángás, </w:t>
            </w:r>
            <w:proofErr w:type="spellStart"/>
            <w:r w:rsidRPr="00643EF0">
              <w:rPr>
                <w:szCs w:val="22"/>
                <w:lang w:val="hu"/>
              </w:rPr>
              <w:t>myasthenia</w:t>
            </w:r>
            <w:proofErr w:type="spellEnd"/>
            <w:r w:rsidRPr="00643EF0">
              <w:rPr>
                <w:szCs w:val="22"/>
                <w:lang w:val="hu"/>
              </w:rPr>
              <w:t>, ízületi rendellenesség</w:t>
            </w:r>
          </w:p>
        </w:tc>
      </w:tr>
      <w:tr w:rsidR="003D6DE8" w:rsidRPr="00643EF0" w14:paraId="03C9E93B" w14:textId="77777777" w:rsidTr="00215D6F">
        <w:trPr>
          <w:trHeight w:val="252"/>
        </w:trPr>
        <w:tc>
          <w:tcPr>
            <w:tcW w:w="1803" w:type="dxa"/>
          </w:tcPr>
          <w:p w14:paraId="7C69ECA4" w14:textId="292C5456" w:rsidR="003D6DE8" w:rsidRPr="00643EF0" w:rsidRDefault="003D6DE8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lastRenderedPageBreak/>
              <w:t>Nem ismert:</w:t>
            </w:r>
          </w:p>
        </w:tc>
        <w:tc>
          <w:tcPr>
            <w:tcW w:w="7298" w:type="dxa"/>
          </w:tcPr>
          <w:p w14:paraId="06A85B79" w14:textId="7F01B788" w:rsidR="003D6DE8" w:rsidRPr="00643EF0" w:rsidRDefault="003D6DE8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82217D">
              <w:rPr>
                <w:color w:val="000000"/>
                <w:szCs w:val="22"/>
                <w:lang w:val="hu"/>
              </w:rPr>
              <w:t>Izomgyengeség*</w:t>
            </w:r>
          </w:p>
        </w:tc>
      </w:tr>
      <w:tr w:rsidR="0095673E" w:rsidRPr="00643EF0" w14:paraId="5B23983E" w14:textId="77777777" w:rsidTr="00215D6F">
        <w:trPr>
          <w:trHeight w:val="252"/>
        </w:trPr>
        <w:tc>
          <w:tcPr>
            <w:tcW w:w="1803" w:type="dxa"/>
          </w:tcPr>
          <w:p w14:paraId="119AA408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74938A0A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3A069BEB" w14:textId="77777777" w:rsidTr="00215D6F">
        <w:trPr>
          <w:trHeight w:val="252"/>
        </w:trPr>
        <w:tc>
          <w:tcPr>
            <w:tcW w:w="9101" w:type="dxa"/>
            <w:gridSpan w:val="2"/>
          </w:tcPr>
          <w:p w14:paraId="64AC1DF8" w14:textId="2D48E95E" w:rsidR="008D2D2B" w:rsidRPr="00643EF0" w:rsidRDefault="008D2D2B" w:rsidP="001D2F2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 xml:space="preserve">Vese- és </w:t>
            </w:r>
            <w:proofErr w:type="spellStart"/>
            <w:r w:rsidRPr="00643EF0">
              <w:rPr>
                <w:b/>
                <w:bCs/>
                <w:szCs w:val="22"/>
                <w:lang w:val="hu"/>
              </w:rPr>
              <w:t>húgyúti</w:t>
            </w:r>
            <w:proofErr w:type="spellEnd"/>
            <w:r w:rsidRPr="00643EF0">
              <w:rPr>
                <w:b/>
                <w:bCs/>
                <w:szCs w:val="22"/>
                <w:lang w:val="hu"/>
              </w:rPr>
              <w:t xml:space="preserve"> betegségek és tünetek</w:t>
            </w:r>
          </w:p>
        </w:tc>
      </w:tr>
      <w:tr w:rsidR="008D2D2B" w:rsidRPr="00643EF0" w14:paraId="7D5A1A79" w14:textId="77777777" w:rsidTr="00215D6F">
        <w:trPr>
          <w:trHeight w:val="504"/>
        </w:trPr>
        <w:tc>
          <w:tcPr>
            <w:tcW w:w="1803" w:type="dxa"/>
          </w:tcPr>
          <w:p w14:paraId="4D69C89E" w14:textId="35F29B0B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6E42378D" w14:textId="6FA00573" w:rsidR="008D2D2B" w:rsidRPr="00643EF0" w:rsidRDefault="000D54AD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V</w:t>
            </w:r>
            <w:r w:rsidR="007C272B" w:rsidRPr="00643EF0">
              <w:rPr>
                <w:szCs w:val="22"/>
                <w:lang w:val="hu"/>
              </w:rPr>
              <w:t>izeletürítés</w:t>
            </w:r>
            <w:r w:rsidRPr="00643EF0">
              <w:rPr>
                <w:szCs w:val="22"/>
                <w:lang w:val="hu"/>
              </w:rPr>
              <w:t xml:space="preserve"> gyakorisága növekszik</w:t>
            </w:r>
            <w:r w:rsidR="007C272B"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="007C272B" w:rsidRPr="00643EF0">
              <w:rPr>
                <w:szCs w:val="22"/>
                <w:lang w:val="hu"/>
              </w:rPr>
              <w:t>húgyúti</w:t>
            </w:r>
            <w:proofErr w:type="spellEnd"/>
            <w:r w:rsidR="007C272B" w:rsidRPr="00643EF0">
              <w:rPr>
                <w:szCs w:val="22"/>
                <w:lang w:val="hu"/>
              </w:rPr>
              <w:t xml:space="preserve"> fertőzés, vesefájdalom, vizelet</w:t>
            </w:r>
            <w:r w:rsidR="00A9040F">
              <w:rPr>
                <w:szCs w:val="22"/>
                <w:lang w:val="hu"/>
              </w:rPr>
              <w:t>-</w:t>
            </w:r>
            <w:r w:rsidR="007C272B" w:rsidRPr="00643EF0">
              <w:rPr>
                <w:szCs w:val="22"/>
                <w:lang w:val="hu"/>
              </w:rPr>
              <w:t xml:space="preserve">inkontinencia, vesekő, </w:t>
            </w:r>
            <w:proofErr w:type="spellStart"/>
            <w:r w:rsidR="007C272B" w:rsidRPr="00643EF0">
              <w:rPr>
                <w:szCs w:val="22"/>
                <w:lang w:val="hu"/>
              </w:rPr>
              <w:t>albuminuria</w:t>
            </w:r>
            <w:proofErr w:type="spellEnd"/>
          </w:p>
        </w:tc>
      </w:tr>
      <w:tr w:rsidR="0095673E" w:rsidRPr="00643EF0" w14:paraId="11283357" w14:textId="77777777" w:rsidTr="00215D6F">
        <w:trPr>
          <w:trHeight w:val="252"/>
        </w:trPr>
        <w:tc>
          <w:tcPr>
            <w:tcW w:w="1803" w:type="dxa"/>
          </w:tcPr>
          <w:p w14:paraId="27CEE4B8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47292974" w14:textId="77777777" w:rsidR="0095673E" w:rsidRPr="00643EF0" w:rsidRDefault="0095673E" w:rsidP="00C82BE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74974156" w14:textId="77777777" w:rsidTr="00215D6F">
        <w:trPr>
          <w:trHeight w:val="252"/>
        </w:trPr>
        <w:tc>
          <w:tcPr>
            <w:tcW w:w="9101" w:type="dxa"/>
            <w:gridSpan w:val="2"/>
          </w:tcPr>
          <w:p w14:paraId="1FE02279" w14:textId="79988B39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A nemi szervekkel és az emlőkkel kapcsolatos betegségek és tünetek</w:t>
            </w:r>
          </w:p>
        </w:tc>
      </w:tr>
      <w:tr w:rsidR="00372F1A" w:rsidRPr="00643EF0" w14:paraId="3089D3A8" w14:textId="77777777" w:rsidTr="00215D6F">
        <w:trPr>
          <w:trHeight w:val="237"/>
        </w:trPr>
        <w:tc>
          <w:tcPr>
            <w:tcW w:w="1803" w:type="dxa"/>
          </w:tcPr>
          <w:p w14:paraId="5530E9F5" w14:textId="32899A8A" w:rsidR="00372F1A" w:rsidRPr="00643EF0" w:rsidRDefault="00372F1A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508C46ED" w14:textId="3B59FA23" w:rsidR="00372F1A" w:rsidRPr="00643EF0" w:rsidRDefault="00372F1A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Dysmenorrhea</w:t>
            </w:r>
            <w:proofErr w:type="spellEnd"/>
            <w:r w:rsidRPr="00643EF0">
              <w:rPr>
                <w:szCs w:val="22"/>
                <w:lang w:val="hu"/>
              </w:rPr>
              <w:t xml:space="preserve">, </w:t>
            </w:r>
            <w:proofErr w:type="spellStart"/>
            <w:r w:rsidRPr="00643EF0">
              <w:rPr>
                <w:szCs w:val="22"/>
                <w:lang w:val="hu"/>
              </w:rPr>
              <w:t>metrorrhagia</w:t>
            </w:r>
            <w:proofErr w:type="spellEnd"/>
            <w:r w:rsidRPr="00643EF0">
              <w:rPr>
                <w:szCs w:val="22"/>
                <w:lang w:val="hu"/>
              </w:rPr>
              <w:t xml:space="preserve">, emlőfájdalom, </w:t>
            </w:r>
            <w:proofErr w:type="spellStart"/>
            <w:r w:rsidRPr="00643EF0">
              <w:rPr>
                <w:szCs w:val="22"/>
                <w:lang w:val="hu"/>
              </w:rPr>
              <w:t>hypomenorrhea</w:t>
            </w:r>
            <w:proofErr w:type="spellEnd"/>
            <w:r w:rsidRPr="00643EF0">
              <w:rPr>
                <w:szCs w:val="22"/>
                <w:lang w:val="hu"/>
              </w:rPr>
              <w:t>, impotencia</w:t>
            </w:r>
          </w:p>
        </w:tc>
      </w:tr>
      <w:tr w:rsidR="0095673E" w:rsidRPr="00643EF0" w14:paraId="2735B954" w14:textId="77777777" w:rsidTr="00215D6F">
        <w:trPr>
          <w:trHeight w:val="252"/>
        </w:trPr>
        <w:tc>
          <w:tcPr>
            <w:tcW w:w="1803" w:type="dxa"/>
          </w:tcPr>
          <w:p w14:paraId="20A3BA2F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442A5618" w14:textId="77777777" w:rsidR="0095673E" w:rsidRPr="00643EF0" w:rsidRDefault="0095673E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8D2D2B" w:rsidRPr="00643EF0" w14:paraId="0F5072D8" w14:textId="77777777" w:rsidTr="00215D6F">
        <w:trPr>
          <w:trHeight w:val="252"/>
        </w:trPr>
        <w:tc>
          <w:tcPr>
            <w:tcW w:w="9101" w:type="dxa"/>
            <w:gridSpan w:val="2"/>
          </w:tcPr>
          <w:p w14:paraId="6313F2A4" w14:textId="1BAE99A9" w:rsidR="008D2D2B" w:rsidRPr="00643EF0" w:rsidRDefault="008D2D2B" w:rsidP="008D2D2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 xml:space="preserve">Általános tünetek, az alkalmazás helyén fellépő reakciók </w:t>
            </w:r>
          </w:p>
        </w:tc>
      </w:tr>
      <w:tr w:rsidR="008D2D2B" w:rsidRPr="00643EF0" w14:paraId="2F5632E7" w14:textId="77777777" w:rsidTr="00215D6F">
        <w:trPr>
          <w:trHeight w:val="252"/>
        </w:trPr>
        <w:tc>
          <w:tcPr>
            <w:tcW w:w="1803" w:type="dxa"/>
          </w:tcPr>
          <w:p w14:paraId="1C528636" w14:textId="2407078D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Gyakori:</w:t>
            </w:r>
          </w:p>
        </w:tc>
        <w:tc>
          <w:tcPr>
            <w:tcW w:w="7298" w:type="dxa"/>
          </w:tcPr>
          <w:p w14:paraId="24F392DF" w14:textId="037C4FCC" w:rsidR="008D2D2B" w:rsidRPr="00643EF0" w:rsidRDefault="00F16E0F" w:rsidP="00E532E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proofErr w:type="spellStart"/>
            <w:r w:rsidRPr="00643EF0">
              <w:rPr>
                <w:szCs w:val="22"/>
                <w:lang w:val="hu"/>
              </w:rPr>
              <w:t>Asthenia</w:t>
            </w:r>
            <w:proofErr w:type="spellEnd"/>
            <w:r w:rsidRPr="00643EF0">
              <w:rPr>
                <w:szCs w:val="22"/>
                <w:lang w:val="hu"/>
              </w:rPr>
              <w:t>, fájdalom</w:t>
            </w:r>
          </w:p>
        </w:tc>
      </w:tr>
      <w:tr w:rsidR="008D2D2B" w:rsidRPr="00643EF0" w14:paraId="17F43A3B" w14:textId="77777777" w:rsidTr="00215D6F">
        <w:trPr>
          <w:trHeight w:val="504"/>
        </w:trPr>
        <w:tc>
          <w:tcPr>
            <w:tcW w:w="1803" w:type="dxa"/>
          </w:tcPr>
          <w:p w14:paraId="18EBA31C" w14:textId="68048D1A" w:rsidR="008D2D2B" w:rsidRPr="00643EF0" w:rsidRDefault="008D2D2B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40EA9ADD" w14:textId="77777777" w:rsidR="008D2D2B" w:rsidRPr="0082217D" w:rsidRDefault="00B1348C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"/>
              </w:rPr>
            </w:pPr>
            <w:r w:rsidRPr="00643EF0">
              <w:rPr>
                <w:szCs w:val="22"/>
                <w:lang w:val="hu"/>
              </w:rPr>
              <w:t xml:space="preserve">Láz, </w:t>
            </w:r>
            <w:r w:rsidRPr="0082217D">
              <w:rPr>
                <w:color w:val="000000"/>
                <w:szCs w:val="22"/>
                <w:lang w:val="hu"/>
              </w:rPr>
              <w:t>kimerültség*</w:t>
            </w:r>
          </w:p>
          <w:p w14:paraId="22DD1ED3" w14:textId="45509ED8" w:rsidR="00215D6F" w:rsidRPr="00643EF0" w:rsidRDefault="00215D6F" w:rsidP="006077D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215D6F" w:rsidRPr="00643EF0" w14:paraId="76E9D2E8" w14:textId="77777777" w:rsidTr="00215D6F">
        <w:trPr>
          <w:trHeight w:val="252"/>
        </w:trPr>
        <w:tc>
          <w:tcPr>
            <w:tcW w:w="9101" w:type="dxa"/>
            <w:gridSpan w:val="2"/>
          </w:tcPr>
          <w:p w14:paraId="33FFC9B4" w14:textId="77777777" w:rsidR="00215D6F" w:rsidRPr="00643EF0" w:rsidRDefault="00215D6F" w:rsidP="008B0CA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Laboratóriumi és egyéb vizsgálatok eredményei</w:t>
            </w:r>
          </w:p>
        </w:tc>
      </w:tr>
      <w:tr w:rsidR="00215D6F" w:rsidRPr="00643EF0" w14:paraId="6C262E3A" w14:textId="77777777" w:rsidTr="00215D6F">
        <w:trPr>
          <w:trHeight w:val="237"/>
        </w:trPr>
        <w:tc>
          <w:tcPr>
            <w:tcW w:w="1803" w:type="dxa"/>
          </w:tcPr>
          <w:p w14:paraId="034D0A4B" w14:textId="77777777" w:rsidR="00215D6F" w:rsidRPr="00643EF0" w:rsidRDefault="00215D6F" w:rsidP="008B0CA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Nem gyakori:</w:t>
            </w:r>
          </w:p>
        </w:tc>
        <w:tc>
          <w:tcPr>
            <w:tcW w:w="7298" w:type="dxa"/>
          </w:tcPr>
          <w:p w14:paraId="3D908409" w14:textId="74E30F53" w:rsidR="00215D6F" w:rsidRPr="00643EF0" w:rsidRDefault="00A9040F" w:rsidP="00A904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  <w:lang w:val="hu"/>
              </w:rPr>
              <w:t>Testtömeg-növekedés</w:t>
            </w:r>
            <w:r w:rsidR="00215D6F" w:rsidRPr="00643EF0">
              <w:rPr>
                <w:szCs w:val="22"/>
                <w:lang w:val="hu"/>
              </w:rPr>
              <w:t xml:space="preserve">, </w:t>
            </w:r>
            <w:r>
              <w:rPr>
                <w:szCs w:val="22"/>
                <w:lang w:val="hu"/>
              </w:rPr>
              <w:t>testtömegcsökkenés</w:t>
            </w:r>
            <w:r w:rsidRPr="00643EF0">
              <w:rPr>
                <w:szCs w:val="22"/>
                <w:lang w:val="hu"/>
              </w:rPr>
              <w:t xml:space="preserve"> </w:t>
            </w:r>
          </w:p>
        </w:tc>
      </w:tr>
      <w:tr w:rsidR="00F10D71" w:rsidRPr="00643EF0" w14:paraId="36E6FCD5" w14:textId="77777777" w:rsidTr="00215D6F">
        <w:trPr>
          <w:trHeight w:val="252"/>
        </w:trPr>
        <w:tc>
          <w:tcPr>
            <w:tcW w:w="1803" w:type="dxa"/>
          </w:tcPr>
          <w:p w14:paraId="2B6BB485" w14:textId="58B59AFF" w:rsidR="00215D6F" w:rsidRPr="00643EF0" w:rsidRDefault="00215D6F" w:rsidP="00F16E0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  <w:tc>
          <w:tcPr>
            <w:tcW w:w="7298" w:type="dxa"/>
          </w:tcPr>
          <w:p w14:paraId="5DF90FFB" w14:textId="77777777" w:rsidR="00F10D71" w:rsidRPr="00643EF0" w:rsidRDefault="00F10D71" w:rsidP="003D6DE8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F10D71" w:rsidRPr="00643EF0" w14:paraId="436C8C24" w14:textId="77777777" w:rsidTr="00215D6F">
        <w:trPr>
          <w:trHeight w:val="252"/>
        </w:trPr>
        <w:tc>
          <w:tcPr>
            <w:tcW w:w="9101" w:type="dxa"/>
            <w:gridSpan w:val="2"/>
          </w:tcPr>
          <w:p w14:paraId="567E3964" w14:textId="3E653DD7" w:rsidR="00F10D71" w:rsidRPr="00643EF0" w:rsidRDefault="00F10D71" w:rsidP="00F10D7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b/>
                <w:bCs/>
                <w:szCs w:val="22"/>
                <w:lang w:val="hu"/>
              </w:rPr>
              <w:t>Sérülés, mérgezés és a beavatkozással kapcsolatos szövődmények</w:t>
            </w:r>
          </w:p>
        </w:tc>
      </w:tr>
      <w:tr w:rsidR="00F10D71" w:rsidRPr="00643EF0" w14:paraId="57569E13" w14:textId="77777777" w:rsidTr="00215D6F">
        <w:trPr>
          <w:trHeight w:val="252"/>
        </w:trPr>
        <w:tc>
          <w:tcPr>
            <w:tcW w:w="1803" w:type="dxa"/>
          </w:tcPr>
          <w:p w14:paraId="3649209D" w14:textId="6865B58D" w:rsidR="00F10D71" w:rsidRPr="00643EF0" w:rsidRDefault="00F10D71" w:rsidP="00FD214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>Ritka:</w:t>
            </w:r>
          </w:p>
        </w:tc>
        <w:tc>
          <w:tcPr>
            <w:tcW w:w="7298" w:type="dxa"/>
          </w:tcPr>
          <w:p w14:paraId="2E74F137" w14:textId="6BB2BD8F" w:rsidR="00F10D71" w:rsidRPr="00643EF0" w:rsidRDefault="00F10D71" w:rsidP="00F10D7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43EF0">
              <w:rPr>
                <w:szCs w:val="22"/>
                <w:lang w:val="hu"/>
              </w:rPr>
              <w:t xml:space="preserve">Elesés (főleg idős </w:t>
            </w:r>
            <w:proofErr w:type="gramStart"/>
            <w:r w:rsidRPr="00643EF0">
              <w:rPr>
                <w:szCs w:val="22"/>
                <w:lang w:val="hu"/>
              </w:rPr>
              <w:t>betegeknél)*</w:t>
            </w:r>
            <w:proofErr w:type="gramEnd"/>
          </w:p>
        </w:tc>
      </w:tr>
    </w:tbl>
    <w:p w14:paraId="58EAFC75" w14:textId="53996210" w:rsidR="004B29CB" w:rsidRPr="00643EF0" w:rsidRDefault="004B29CB" w:rsidP="004B29C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BB6C181" w14:textId="3438CB4F" w:rsidR="008F37D3" w:rsidRPr="00643EF0" w:rsidRDefault="008F37D3" w:rsidP="004B29C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*Nem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nal</w:t>
      </w:r>
      <w:proofErr w:type="spellEnd"/>
      <w:r w:rsidRPr="00643EF0">
        <w:rPr>
          <w:szCs w:val="22"/>
          <w:lang w:val="hu"/>
        </w:rPr>
        <w:t xml:space="preserve">, hanem </w:t>
      </w:r>
      <w:proofErr w:type="spellStart"/>
      <w:r w:rsidRPr="00643EF0">
        <w:rPr>
          <w:szCs w:val="22"/>
          <w:lang w:val="hu"/>
        </w:rPr>
        <w:t>racém</w:t>
      </w:r>
      <w:proofErr w:type="spellEnd"/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zopiklonnal</w:t>
      </w:r>
      <w:proofErr w:type="spellEnd"/>
      <w:r w:rsidRPr="00643EF0">
        <w:rPr>
          <w:szCs w:val="22"/>
          <w:lang w:val="hu"/>
        </w:rPr>
        <w:t xml:space="preserve"> jelentett mellékhatások.</w:t>
      </w:r>
    </w:p>
    <w:p w14:paraId="06E2AC7A" w14:textId="721E9BD9" w:rsidR="004E2C93" w:rsidRPr="00643EF0" w:rsidRDefault="004E2C93" w:rsidP="008D4234">
      <w:pPr>
        <w:spacing w:line="240" w:lineRule="auto"/>
        <w:rPr>
          <w:szCs w:val="22"/>
          <w:u w:val="single"/>
        </w:rPr>
      </w:pPr>
    </w:p>
    <w:p w14:paraId="40FF7C11" w14:textId="77777777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</w:rPr>
      </w:pPr>
      <w:r w:rsidRPr="00643EF0">
        <w:rPr>
          <w:i/>
          <w:iCs/>
          <w:szCs w:val="22"/>
          <w:lang w:val="hu"/>
        </w:rPr>
        <w:t>Amnézia</w:t>
      </w:r>
    </w:p>
    <w:p w14:paraId="24477769" w14:textId="7D362112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643EF0">
        <w:rPr>
          <w:szCs w:val="22"/>
          <w:lang w:val="hu"/>
        </w:rPr>
        <w:t>Anterográd</w:t>
      </w:r>
      <w:proofErr w:type="spellEnd"/>
      <w:r w:rsidRPr="00643EF0">
        <w:rPr>
          <w:szCs w:val="22"/>
          <w:lang w:val="hu"/>
        </w:rPr>
        <w:t xml:space="preserve"> amnézia fordulhat elő a javasolt terápiás adagok alkalmazása esetén, a kockázat az adagokkal emelkedik. Az amnéziás hatások helytelen viselkedéssel járhatnak (lásd 4.4 pont).</w:t>
      </w:r>
    </w:p>
    <w:p w14:paraId="7D449287" w14:textId="7B9EE112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highlight w:val="yellow"/>
        </w:rPr>
      </w:pPr>
    </w:p>
    <w:p w14:paraId="55D06D7F" w14:textId="77777777" w:rsidR="006336E0" w:rsidRPr="00643EF0" w:rsidRDefault="006336E0" w:rsidP="006336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</w:rPr>
      </w:pPr>
      <w:r w:rsidRPr="00643EF0">
        <w:rPr>
          <w:i/>
          <w:iCs/>
          <w:szCs w:val="22"/>
          <w:lang w:val="hu"/>
        </w:rPr>
        <w:t>Depresszió</w:t>
      </w:r>
    </w:p>
    <w:p w14:paraId="192D60C2" w14:textId="45CFDC89" w:rsidR="006336E0" w:rsidRPr="00643EF0" w:rsidRDefault="006336E0" w:rsidP="006336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highlight w:val="yellow"/>
        </w:rPr>
      </w:pPr>
      <w:proofErr w:type="spellStart"/>
      <w:r w:rsidRPr="00643EF0">
        <w:rPr>
          <w:szCs w:val="22"/>
          <w:lang w:val="hu"/>
        </w:rPr>
        <w:t>Benzodiazepin</w:t>
      </w:r>
      <w:proofErr w:type="spellEnd"/>
      <w:r w:rsidRPr="00643EF0">
        <w:rPr>
          <w:szCs w:val="22"/>
          <w:lang w:val="hu"/>
        </w:rPr>
        <w:t xml:space="preserve"> vagy </w:t>
      </w:r>
      <w:proofErr w:type="spellStart"/>
      <w:r w:rsidRPr="00643EF0">
        <w:rPr>
          <w:szCs w:val="22"/>
          <w:lang w:val="hu"/>
        </w:rPr>
        <w:t>benzodiazepin</w:t>
      </w:r>
      <w:r w:rsidR="00EC7DA4">
        <w:rPr>
          <w:szCs w:val="22"/>
          <w:lang w:val="hu"/>
        </w:rPr>
        <w:t>nel</w:t>
      </w:r>
      <w:proofErr w:type="spellEnd"/>
      <w:r w:rsidR="00EC7DA4">
        <w:rPr>
          <w:szCs w:val="22"/>
          <w:lang w:val="hu"/>
        </w:rPr>
        <w:t xml:space="preserve"> rokon hatóanyag</w:t>
      </w:r>
      <w:r w:rsidRPr="00643EF0">
        <w:rPr>
          <w:szCs w:val="22"/>
          <w:lang w:val="hu"/>
        </w:rPr>
        <w:t xml:space="preserve"> alkalmazása során fény derülhet a már fennálló depresszióra.</w:t>
      </w:r>
    </w:p>
    <w:p w14:paraId="6EBF0AB0" w14:textId="77777777" w:rsidR="006336E0" w:rsidRPr="00643EF0" w:rsidRDefault="006336E0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highlight w:val="yellow"/>
        </w:rPr>
      </w:pPr>
    </w:p>
    <w:p w14:paraId="4AB6440C" w14:textId="57738966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</w:rPr>
      </w:pPr>
      <w:r w:rsidRPr="00643EF0">
        <w:rPr>
          <w:i/>
          <w:iCs/>
          <w:szCs w:val="22"/>
          <w:lang w:val="hu"/>
        </w:rPr>
        <w:t>Pszichiátriai és „paradox” reakciók</w:t>
      </w:r>
    </w:p>
    <w:p w14:paraId="4D5D55B4" w14:textId="524C5780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643EF0">
        <w:rPr>
          <w:szCs w:val="22"/>
          <w:lang w:val="hu"/>
        </w:rPr>
        <w:t>Benzodiazepinek</w:t>
      </w:r>
      <w:proofErr w:type="spellEnd"/>
      <w:r w:rsidRPr="00643EF0">
        <w:rPr>
          <w:szCs w:val="22"/>
          <w:lang w:val="hu"/>
        </w:rPr>
        <w:t xml:space="preserve"> vagy </w:t>
      </w:r>
      <w:proofErr w:type="spellStart"/>
      <w:r w:rsidRPr="00643EF0">
        <w:rPr>
          <w:szCs w:val="22"/>
          <w:lang w:val="hu"/>
        </w:rPr>
        <w:t>benzodiazepin</w:t>
      </w:r>
      <w:r w:rsidR="00EC7DA4">
        <w:rPr>
          <w:szCs w:val="22"/>
          <w:lang w:val="hu"/>
        </w:rPr>
        <w:t>nel</w:t>
      </w:r>
      <w:proofErr w:type="spellEnd"/>
      <w:r w:rsidR="00EC7DA4">
        <w:rPr>
          <w:szCs w:val="22"/>
          <w:lang w:val="hu"/>
        </w:rPr>
        <w:t xml:space="preserve"> rokon hatóanyagok</w:t>
      </w:r>
      <w:r w:rsidRPr="00643EF0">
        <w:rPr>
          <w:szCs w:val="22"/>
          <w:lang w:val="hu"/>
        </w:rPr>
        <w:t xml:space="preserve"> alkalmazásakor olyan reakciók előfordulása ismert, mint a nyugtalanság, izgatottság, ingerlékenység, csökkent gátlások, agresszivitás, rendellenes gondolkodás, téveszmék, dührohamok, rémálmok, </w:t>
      </w:r>
      <w:proofErr w:type="spellStart"/>
      <w:r w:rsidRPr="00643EF0">
        <w:rPr>
          <w:szCs w:val="22"/>
          <w:lang w:val="hu"/>
        </w:rPr>
        <w:t>depersonalisatio</w:t>
      </w:r>
      <w:proofErr w:type="spellEnd"/>
      <w:r w:rsidRPr="00643EF0">
        <w:rPr>
          <w:szCs w:val="22"/>
          <w:lang w:val="hu"/>
        </w:rPr>
        <w:t xml:space="preserve">, hallucinációk, pszichózisok, helytelen viselkedés, a személyiségtől idegennek ható </w:t>
      </w:r>
      <w:proofErr w:type="spellStart"/>
      <w:r w:rsidRPr="00643EF0">
        <w:rPr>
          <w:szCs w:val="22"/>
          <w:lang w:val="hu"/>
        </w:rPr>
        <w:t>extroversio</w:t>
      </w:r>
      <w:proofErr w:type="spellEnd"/>
      <w:r w:rsidRPr="00643EF0">
        <w:rPr>
          <w:szCs w:val="22"/>
          <w:lang w:val="hu"/>
        </w:rPr>
        <w:t xml:space="preserve"> és a viselkedésre gyakorolt egyéb nemkívánatos reakciók. Ilyen reakciók nagyobb valószínűséggel alakulnak ki időseknél.</w:t>
      </w:r>
    </w:p>
    <w:p w14:paraId="10ADAFF6" w14:textId="77777777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2443479" w14:textId="6F316E2E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</w:rPr>
      </w:pPr>
      <w:r w:rsidRPr="00643EF0">
        <w:rPr>
          <w:i/>
          <w:iCs/>
          <w:szCs w:val="22"/>
          <w:lang w:val="hu"/>
        </w:rPr>
        <w:t>Függőség</w:t>
      </w:r>
    </w:p>
    <w:p w14:paraId="3D9E0A6E" w14:textId="18BC41EE" w:rsidR="006F3899" w:rsidRPr="00643EF0" w:rsidRDefault="006F3899" w:rsidP="006F38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proofErr w:type="spellStart"/>
      <w:r w:rsidRPr="00643EF0">
        <w:rPr>
          <w:szCs w:val="22"/>
          <w:lang w:val="hu"/>
        </w:rPr>
        <w:t>Benzodiazepinek</w:t>
      </w:r>
      <w:proofErr w:type="spellEnd"/>
      <w:r w:rsidRPr="00643EF0">
        <w:rPr>
          <w:szCs w:val="22"/>
          <w:lang w:val="hu"/>
        </w:rPr>
        <w:t xml:space="preserve"> és </w:t>
      </w:r>
      <w:proofErr w:type="spellStart"/>
      <w:r w:rsidRPr="00643EF0">
        <w:rPr>
          <w:szCs w:val="22"/>
          <w:lang w:val="hu"/>
        </w:rPr>
        <w:t>benzodiazepin</w:t>
      </w:r>
      <w:r w:rsidR="00EC7DA4">
        <w:rPr>
          <w:szCs w:val="22"/>
          <w:lang w:val="hu"/>
        </w:rPr>
        <w:t>nel</w:t>
      </w:r>
      <w:proofErr w:type="spellEnd"/>
      <w:r w:rsidR="00EC7DA4">
        <w:rPr>
          <w:szCs w:val="22"/>
          <w:lang w:val="hu"/>
        </w:rPr>
        <w:t xml:space="preserve"> rokon hatóanyagok</w:t>
      </w:r>
      <w:r w:rsidRPr="00643EF0">
        <w:rPr>
          <w:szCs w:val="22"/>
          <w:lang w:val="hu"/>
        </w:rPr>
        <w:t xml:space="preserve"> alkalmazása (még terápiás adagokban is) fizikai függőség kialakulásához vezethet: a kezelés abbahagyása elvonást vagy </w:t>
      </w:r>
      <w:proofErr w:type="spellStart"/>
      <w:r w:rsidRPr="00643EF0">
        <w:rPr>
          <w:szCs w:val="22"/>
          <w:lang w:val="hu"/>
        </w:rPr>
        <w:t>rebound</w:t>
      </w:r>
      <w:proofErr w:type="spellEnd"/>
      <w:r w:rsidRPr="00643EF0">
        <w:rPr>
          <w:szCs w:val="22"/>
          <w:lang w:val="hu"/>
        </w:rPr>
        <w:t xml:space="preserve"> jelenségeket eredményezhet (lásd 4.4 pont). Pszichés függőség fordulhat elő. Beszámoltak a </w:t>
      </w:r>
      <w:proofErr w:type="spellStart"/>
      <w:r w:rsidRPr="00643EF0">
        <w:rPr>
          <w:szCs w:val="22"/>
          <w:lang w:val="hu"/>
        </w:rPr>
        <w:t>benzodiazepinek</w:t>
      </w:r>
      <w:proofErr w:type="spellEnd"/>
      <w:r w:rsidRPr="00643EF0">
        <w:rPr>
          <w:szCs w:val="22"/>
          <w:lang w:val="hu"/>
        </w:rPr>
        <w:t xml:space="preserve"> vagy </w:t>
      </w:r>
      <w:proofErr w:type="spellStart"/>
      <w:r w:rsidRPr="00643EF0">
        <w:rPr>
          <w:szCs w:val="22"/>
          <w:lang w:val="hu"/>
        </w:rPr>
        <w:t>benzodiazepin</w:t>
      </w:r>
      <w:r w:rsidR="00EC7DA4">
        <w:rPr>
          <w:szCs w:val="22"/>
          <w:lang w:val="hu"/>
        </w:rPr>
        <w:t>nel</w:t>
      </w:r>
      <w:proofErr w:type="spellEnd"/>
      <w:r w:rsidR="00EC7DA4">
        <w:rPr>
          <w:szCs w:val="22"/>
          <w:lang w:val="hu"/>
        </w:rPr>
        <w:t xml:space="preserve"> rokon hatóanyagok</w:t>
      </w:r>
      <w:r w:rsidRPr="00643EF0">
        <w:rPr>
          <w:szCs w:val="22"/>
          <w:lang w:val="hu"/>
        </w:rPr>
        <w:t xml:space="preserve"> abúzusáról.</w:t>
      </w:r>
    </w:p>
    <w:p w14:paraId="7302FD31" w14:textId="77777777" w:rsidR="006F3899" w:rsidRPr="00643EF0" w:rsidRDefault="006F3899" w:rsidP="008D4234">
      <w:pPr>
        <w:spacing w:line="240" w:lineRule="auto"/>
        <w:rPr>
          <w:szCs w:val="22"/>
          <w:u w:val="single"/>
        </w:rPr>
      </w:pPr>
    </w:p>
    <w:p w14:paraId="569F4109" w14:textId="0939FA6A" w:rsidR="00ED440A" w:rsidRPr="00643EF0" w:rsidRDefault="00ED440A" w:rsidP="008D4234">
      <w:pPr>
        <w:spacing w:line="240" w:lineRule="auto"/>
        <w:rPr>
          <w:szCs w:val="22"/>
          <w:u w:val="single"/>
        </w:rPr>
      </w:pPr>
      <w:r w:rsidRPr="00643EF0">
        <w:rPr>
          <w:i/>
          <w:iCs/>
          <w:szCs w:val="22"/>
          <w:u w:val="single"/>
          <w:lang w:val="hu"/>
        </w:rPr>
        <w:t>Idős</w:t>
      </w:r>
      <w:r w:rsidR="00EC7DA4">
        <w:rPr>
          <w:i/>
          <w:iCs/>
          <w:szCs w:val="22"/>
          <w:u w:val="single"/>
          <w:lang w:val="hu"/>
        </w:rPr>
        <w:t>ek</w:t>
      </w:r>
    </w:p>
    <w:p w14:paraId="4868EA29" w14:textId="10487BC5" w:rsidR="007C272B" w:rsidRPr="00643EF0" w:rsidRDefault="007C272B" w:rsidP="00E912EE">
      <w:pPr>
        <w:rPr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Pr="00643EF0">
        <w:rPr>
          <w:szCs w:val="22"/>
          <w:lang w:val="hu"/>
        </w:rPr>
        <w:t>insomniás</w:t>
      </w:r>
      <w:proofErr w:type="spellEnd"/>
      <w:r w:rsidRPr="00643EF0">
        <w:rPr>
          <w:szCs w:val="22"/>
          <w:lang w:val="hu"/>
        </w:rPr>
        <w:t xml:space="preserve"> idős betegek klinikai vizsgálataiban megfigyelt mellékhatásprofil általánosságban hasonló a nem idős </w:t>
      </w:r>
      <w:proofErr w:type="spellStart"/>
      <w:r w:rsidRPr="00643EF0">
        <w:rPr>
          <w:szCs w:val="22"/>
          <w:lang w:val="hu"/>
        </w:rPr>
        <w:t>insomniás</w:t>
      </w:r>
      <w:proofErr w:type="spellEnd"/>
      <w:r w:rsidRPr="00643EF0">
        <w:rPr>
          <w:szCs w:val="22"/>
          <w:lang w:val="hu"/>
        </w:rPr>
        <w:t xml:space="preserve"> betegek klinikai vizsgálataiban megfigyelt profilhoz. Az időseknél továbbá homályos látásról is beszámoltak gyakori mellékhatásként. A viszketés gyakori volt.</w:t>
      </w:r>
    </w:p>
    <w:p w14:paraId="48EDCDF6" w14:textId="77777777" w:rsidR="00E549E1" w:rsidRPr="0082217D" w:rsidRDefault="00E549E1" w:rsidP="00E912EE">
      <w:pPr>
        <w:rPr>
          <w:szCs w:val="22"/>
        </w:rPr>
      </w:pPr>
    </w:p>
    <w:p w14:paraId="54B83BD5" w14:textId="77777777" w:rsidR="00F00876" w:rsidRPr="00643EF0" w:rsidRDefault="00F00876" w:rsidP="008D4234">
      <w:pPr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>Feltételezett mellékhatások bejelentése</w:t>
      </w:r>
    </w:p>
    <w:p w14:paraId="2E4788F2" w14:textId="658810DD" w:rsidR="00F00876" w:rsidRPr="006A27D8" w:rsidRDefault="00F00876" w:rsidP="008D4234">
      <w:pPr>
        <w:autoSpaceDE w:val="0"/>
        <w:autoSpaceDN w:val="0"/>
        <w:adjustRightInd w:val="0"/>
        <w:spacing w:line="240" w:lineRule="auto"/>
        <w:rPr>
          <w:noProof/>
          <w:szCs w:val="22"/>
        </w:rPr>
      </w:pPr>
      <w:r w:rsidRPr="00643EF0">
        <w:rPr>
          <w:szCs w:val="22"/>
          <w:lang w:val="hu"/>
        </w:rPr>
        <w:t xml:space="preserve">A gyógyszer engedélyezését követően lényeges a feltételezett mellékhatások bejelentése, mert ez fontos eszköze annak, hogy a gyógyszer előny/kockázat profilját folyamatosan figyelemmel lehessen kísérni. Az egészségügyi szakembereket kérjük, hogy jelentsék be a feltételezett mellékhatásokat a hatóság részére az </w:t>
      </w:r>
      <w:hyperlink r:id="rId12" w:history="1">
        <w:r w:rsidRPr="00643EF0">
          <w:rPr>
            <w:rStyle w:val="Hiperhivatkozs"/>
            <w:szCs w:val="22"/>
            <w:highlight w:val="lightGray"/>
            <w:u w:val="none"/>
            <w:lang w:val="hu"/>
          </w:rPr>
          <w:t>V. függelékben</w:t>
        </w:r>
      </w:hyperlink>
      <w:r w:rsidRPr="00643EF0">
        <w:rPr>
          <w:szCs w:val="22"/>
          <w:lang w:val="hu"/>
        </w:rPr>
        <w:t xml:space="preserve"> található elérhetőségek valamelyikén keresztül</w:t>
      </w:r>
      <w:r w:rsidRPr="00643EF0">
        <w:rPr>
          <w:color w:val="008000"/>
          <w:szCs w:val="22"/>
          <w:lang w:val="hu"/>
        </w:rPr>
        <w:t>.</w:t>
      </w:r>
      <w:r w:rsidRPr="006A27D8">
        <w:rPr>
          <w:szCs w:val="22"/>
          <w:lang w:val="hu"/>
        </w:rPr>
        <w:t>*</w:t>
      </w:r>
    </w:p>
    <w:p w14:paraId="095D7E6A" w14:textId="77777777" w:rsidR="00DC1818" w:rsidRPr="006A27D8" w:rsidRDefault="00DC1818" w:rsidP="008D4234">
      <w:pPr>
        <w:spacing w:line="240" w:lineRule="auto"/>
        <w:rPr>
          <w:b/>
          <w:szCs w:val="22"/>
        </w:rPr>
      </w:pPr>
    </w:p>
    <w:p w14:paraId="62C75B75" w14:textId="77777777" w:rsidR="001D29E6" w:rsidRPr="0082217D" w:rsidRDefault="001D29E6" w:rsidP="00D56FF5">
      <w:pPr>
        <w:pStyle w:val="Cmsor2"/>
        <w:rPr>
          <w:szCs w:val="22"/>
        </w:rPr>
      </w:pPr>
      <w:r w:rsidRPr="0082217D">
        <w:rPr>
          <w:bCs/>
          <w:szCs w:val="22"/>
          <w:lang w:val="hu"/>
        </w:rPr>
        <w:t>4.9</w:t>
      </w:r>
      <w:r w:rsidRPr="0082217D">
        <w:rPr>
          <w:bCs/>
          <w:szCs w:val="22"/>
          <w:lang w:val="hu"/>
        </w:rPr>
        <w:tab/>
        <w:t>Túladagolás</w:t>
      </w:r>
    </w:p>
    <w:p w14:paraId="150C8520" w14:textId="77777777" w:rsidR="001D29E6" w:rsidRPr="00A2123E" w:rsidRDefault="001D29E6" w:rsidP="008D4234">
      <w:pPr>
        <w:spacing w:line="240" w:lineRule="auto"/>
        <w:rPr>
          <w:szCs w:val="22"/>
        </w:rPr>
      </w:pPr>
    </w:p>
    <w:p w14:paraId="1C5BEC80" w14:textId="0E83E668" w:rsidR="00CD37CD" w:rsidRPr="00643EF0" w:rsidRDefault="00CD37CD" w:rsidP="00CD37CD">
      <w:pPr>
        <w:tabs>
          <w:tab w:val="clear" w:pos="567"/>
        </w:tabs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lastRenderedPageBreak/>
        <w:t xml:space="preserve">A túladagolás rendszerint különböző mértékű központi idegrendszeri depresszió formájában jelenik meg, amely a bevett dózistól függően az álmosságtól a kómáig terjedhet. </w:t>
      </w:r>
    </w:p>
    <w:p w14:paraId="0D8CB61B" w14:textId="7D687890" w:rsidR="00CD37CD" w:rsidRPr="00643EF0" w:rsidRDefault="00CD37CD" w:rsidP="00CD37CD">
      <w:pPr>
        <w:tabs>
          <w:tab w:val="clear" w:pos="567"/>
        </w:tabs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 xml:space="preserve">Tüneti és támogató kezelés javallott megfelelő klinikai környezetben. Különös figyelmet kell fordítani a cardiovascularis funkciókra és a légzésfunkciókra. A gyomormosás csak akkor hasznos, ha kevéssel a </w:t>
      </w:r>
      <w:r w:rsidR="00A51193">
        <w:rPr>
          <w:noProof/>
          <w:szCs w:val="22"/>
          <w:lang w:val="hu"/>
        </w:rPr>
        <w:t>gyógy</w:t>
      </w:r>
      <w:r w:rsidRPr="00643EF0">
        <w:rPr>
          <w:noProof/>
          <w:szCs w:val="22"/>
          <w:lang w:val="hu"/>
        </w:rPr>
        <w:t xml:space="preserve">szer bevétele után hajtják végre. Bár nem vizsgálták, de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nagy eloszlási térfogata miatt nem várható, hogy a hemodialízis hasznosnak bizonyulna. A flumazenil hasznos antidotum lehet.</w:t>
      </w:r>
    </w:p>
    <w:p w14:paraId="6A32E7D9" w14:textId="77777777" w:rsidR="00CD37CD" w:rsidRPr="00643EF0" w:rsidRDefault="00CD37CD" w:rsidP="00CD37CD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3DF558F5" w14:textId="7BF13B83" w:rsidR="00CD37CD" w:rsidRPr="00643EF0" w:rsidRDefault="00CD37CD" w:rsidP="00CD37CD">
      <w:pPr>
        <w:tabs>
          <w:tab w:val="clear" w:pos="567"/>
        </w:tabs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 xml:space="preserve">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klinikai vizsgálataiban egy esetben számoltak be legfeljebb 36 mg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nal történt túladagolásról, amelyből a résztvevő teljesen felépült. A kereskedelmi forgalmazás kezdete óta 270 mg-ig terjedő spontán túladagolás eseteiről számoltak be. </w:t>
      </w:r>
    </w:p>
    <w:p w14:paraId="086282C7" w14:textId="4A2B899F" w:rsidR="002826DD" w:rsidRPr="00643EF0" w:rsidRDefault="00CD37CD" w:rsidP="00CD37CD">
      <w:pPr>
        <w:tabs>
          <w:tab w:val="clear" w:pos="567"/>
        </w:tabs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 xml:space="preserve">Nagyobb valószínűséggel következik be végzetes túladagolás, ha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t egyéb KIR-depresszánsokkal, például alkohollal együtt veszik be. Eddig 270 mg-ig terjedő, csak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>nal végzett túladagolásból épültek fel betegek.</w:t>
      </w:r>
    </w:p>
    <w:p w14:paraId="463FC29E" w14:textId="77777777" w:rsidR="001D29E6" w:rsidRPr="0082217D" w:rsidRDefault="001D29E6" w:rsidP="008D4234">
      <w:pPr>
        <w:spacing w:line="240" w:lineRule="auto"/>
        <w:rPr>
          <w:szCs w:val="22"/>
        </w:rPr>
      </w:pPr>
    </w:p>
    <w:p w14:paraId="45B3E004" w14:textId="77777777" w:rsidR="00EF5E3C" w:rsidRPr="00A2123E" w:rsidRDefault="00EF5E3C" w:rsidP="008D4234">
      <w:pPr>
        <w:spacing w:line="240" w:lineRule="auto"/>
        <w:rPr>
          <w:szCs w:val="22"/>
        </w:rPr>
      </w:pPr>
    </w:p>
    <w:p w14:paraId="1719F554" w14:textId="77777777" w:rsidR="001D29E6" w:rsidRPr="007B3CA8" w:rsidRDefault="001D29E6" w:rsidP="000244A6">
      <w:pPr>
        <w:pStyle w:val="Cmsor1"/>
        <w:rPr>
          <w:szCs w:val="22"/>
        </w:rPr>
      </w:pPr>
      <w:r w:rsidRPr="007B3CA8">
        <w:rPr>
          <w:bCs/>
          <w:szCs w:val="22"/>
          <w:lang w:val="hu"/>
        </w:rPr>
        <w:t>5.</w:t>
      </w:r>
      <w:r w:rsidRPr="007B3CA8">
        <w:rPr>
          <w:bCs/>
          <w:szCs w:val="22"/>
          <w:lang w:val="hu"/>
        </w:rPr>
        <w:tab/>
        <w:t>FARMAKOLÓGIAI TULAJDONSÁGOK</w:t>
      </w:r>
    </w:p>
    <w:p w14:paraId="59E54765" w14:textId="77777777" w:rsidR="001D29E6" w:rsidRPr="00D24220" w:rsidRDefault="001D29E6" w:rsidP="008D4234">
      <w:pPr>
        <w:spacing w:line="240" w:lineRule="auto"/>
        <w:rPr>
          <w:b/>
          <w:szCs w:val="22"/>
        </w:rPr>
      </w:pPr>
    </w:p>
    <w:p w14:paraId="4BF0CA27" w14:textId="18F95B7A" w:rsidR="001D29E6" w:rsidRPr="00635B03" w:rsidRDefault="001D29E6" w:rsidP="000244A6">
      <w:pPr>
        <w:pStyle w:val="Cmsor2"/>
        <w:rPr>
          <w:szCs w:val="22"/>
        </w:rPr>
      </w:pPr>
      <w:r w:rsidRPr="00635B03">
        <w:rPr>
          <w:bCs/>
          <w:szCs w:val="22"/>
          <w:lang w:val="hu"/>
        </w:rPr>
        <w:t>5.1</w:t>
      </w:r>
      <w:r w:rsidRPr="00635B03">
        <w:rPr>
          <w:bCs/>
          <w:szCs w:val="22"/>
          <w:lang w:val="hu"/>
        </w:rPr>
        <w:tab/>
      </w:r>
      <w:proofErr w:type="spellStart"/>
      <w:r w:rsidRPr="00635B03">
        <w:rPr>
          <w:bCs/>
          <w:szCs w:val="22"/>
          <w:lang w:val="hu"/>
        </w:rPr>
        <w:t>Farmakodinámiás</w:t>
      </w:r>
      <w:proofErr w:type="spellEnd"/>
      <w:r w:rsidRPr="00635B03">
        <w:rPr>
          <w:bCs/>
          <w:szCs w:val="22"/>
          <w:lang w:val="hu"/>
        </w:rPr>
        <w:t xml:space="preserve"> tulajdonságok</w:t>
      </w:r>
    </w:p>
    <w:p w14:paraId="6F88198D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2EF5AA19" w14:textId="1E020F63" w:rsidR="00575454" w:rsidRPr="00635B03" w:rsidRDefault="001D29E6" w:rsidP="008D4234">
      <w:pPr>
        <w:spacing w:line="240" w:lineRule="auto"/>
        <w:rPr>
          <w:szCs w:val="22"/>
        </w:rPr>
      </w:pPr>
      <w:proofErr w:type="spellStart"/>
      <w:r w:rsidRPr="00635B03">
        <w:rPr>
          <w:szCs w:val="22"/>
          <w:lang w:val="hu"/>
        </w:rPr>
        <w:t>Farmakoterápiás</w:t>
      </w:r>
      <w:proofErr w:type="spellEnd"/>
      <w:r w:rsidRPr="00635B03">
        <w:rPr>
          <w:szCs w:val="22"/>
          <w:lang w:val="hu"/>
        </w:rPr>
        <w:t xml:space="preserve"> csoport: Idegrendszer; </w:t>
      </w:r>
      <w:proofErr w:type="spellStart"/>
      <w:r w:rsidRPr="00635B03">
        <w:rPr>
          <w:szCs w:val="22"/>
          <w:lang w:val="hu"/>
        </w:rPr>
        <w:t>pszicholeptikumok</w:t>
      </w:r>
      <w:proofErr w:type="spellEnd"/>
      <w:r w:rsidRPr="00635B03">
        <w:rPr>
          <w:szCs w:val="22"/>
          <w:lang w:val="hu"/>
        </w:rPr>
        <w:t xml:space="preserve">; altatók és nyugtatók; </w:t>
      </w:r>
      <w:proofErr w:type="spellStart"/>
      <w:r w:rsidRPr="00635B03">
        <w:rPr>
          <w:szCs w:val="22"/>
          <w:lang w:val="hu"/>
        </w:rPr>
        <w:t>benzodiazepinekhez</w:t>
      </w:r>
      <w:proofErr w:type="spellEnd"/>
      <w:r w:rsidRPr="00635B03">
        <w:rPr>
          <w:szCs w:val="22"/>
          <w:lang w:val="hu"/>
        </w:rPr>
        <w:t xml:space="preserve"> hasonló szerek </w:t>
      </w:r>
    </w:p>
    <w:p w14:paraId="534918D4" w14:textId="6B9785D2" w:rsidR="001D29E6" w:rsidRPr="00643EF0" w:rsidRDefault="00CB1F55" w:rsidP="008D4234">
      <w:pPr>
        <w:spacing w:line="240" w:lineRule="auto"/>
        <w:rPr>
          <w:noProof/>
          <w:szCs w:val="22"/>
        </w:rPr>
      </w:pPr>
      <w:r w:rsidRPr="00635B03">
        <w:rPr>
          <w:szCs w:val="22"/>
          <w:lang w:val="hu"/>
        </w:rPr>
        <w:t>ATC kód: N05CF04</w:t>
      </w:r>
    </w:p>
    <w:p w14:paraId="364A585B" w14:textId="77777777" w:rsidR="00777769" w:rsidRPr="0082217D" w:rsidRDefault="00777769" w:rsidP="008D4234">
      <w:pPr>
        <w:spacing w:line="240" w:lineRule="auto"/>
        <w:rPr>
          <w:szCs w:val="22"/>
        </w:rPr>
      </w:pPr>
    </w:p>
    <w:p w14:paraId="5D2C5EA4" w14:textId="77777777" w:rsidR="00C53ACC" w:rsidRPr="00643EF0" w:rsidRDefault="00C53ACC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 w:rsidRPr="00643EF0">
        <w:rPr>
          <w:i/>
          <w:iCs/>
          <w:szCs w:val="22"/>
          <w:lang w:val="hu"/>
        </w:rPr>
        <w:t>Hatásmechanizmus</w:t>
      </w:r>
    </w:p>
    <w:p w14:paraId="0A37B3A4" w14:textId="2CB0A20A" w:rsidR="00CB1F55" w:rsidRPr="00643EF0" w:rsidRDefault="00CB1F55" w:rsidP="00770FF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nem </w:t>
      </w:r>
      <w:proofErr w:type="spellStart"/>
      <w:r w:rsidRPr="00643EF0">
        <w:rPr>
          <w:szCs w:val="22"/>
          <w:lang w:val="hu"/>
        </w:rPr>
        <w:t>benzodiazepin</w:t>
      </w:r>
      <w:proofErr w:type="spellEnd"/>
      <w:r w:rsidRPr="00643EF0">
        <w:rPr>
          <w:szCs w:val="22"/>
          <w:lang w:val="hu"/>
        </w:rPr>
        <w:t xml:space="preserve"> </w:t>
      </w:r>
      <w:r w:rsidR="00DD4DD6" w:rsidRPr="00643EF0">
        <w:rPr>
          <w:szCs w:val="22"/>
          <w:lang w:val="hu"/>
        </w:rPr>
        <w:t xml:space="preserve">típusú </w:t>
      </w:r>
      <w:r w:rsidRPr="00643EF0">
        <w:rPr>
          <w:szCs w:val="22"/>
          <w:lang w:val="hu"/>
        </w:rPr>
        <w:t xml:space="preserve">altatószer, amely a </w:t>
      </w:r>
      <w:proofErr w:type="spellStart"/>
      <w:r w:rsidRPr="00643EF0">
        <w:rPr>
          <w:szCs w:val="22"/>
          <w:lang w:val="hu"/>
        </w:rPr>
        <w:t>ciklopirrolonok</w:t>
      </w:r>
      <w:proofErr w:type="spellEnd"/>
      <w:r w:rsidRPr="00643EF0">
        <w:rPr>
          <w:szCs w:val="22"/>
          <w:lang w:val="hu"/>
        </w:rPr>
        <w:t xml:space="preserve"> csoportjába tartozó </w:t>
      </w:r>
      <w:proofErr w:type="spellStart"/>
      <w:r w:rsidRPr="00643EF0">
        <w:rPr>
          <w:szCs w:val="22"/>
          <w:lang w:val="hu"/>
        </w:rPr>
        <w:t>pirrolopirazin</w:t>
      </w:r>
      <w:proofErr w:type="spellEnd"/>
      <w:r w:rsidRPr="00643EF0">
        <w:rPr>
          <w:szCs w:val="22"/>
          <w:lang w:val="hu"/>
        </w:rPr>
        <w:t xml:space="preserve">-származék; szerkezeti képlete eltér a </w:t>
      </w:r>
      <w:proofErr w:type="spellStart"/>
      <w:r w:rsidRPr="00643EF0">
        <w:rPr>
          <w:szCs w:val="22"/>
          <w:lang w:val="hu"/>
        </w:rPr>
        <w:t>pirazolopirimidinektől</w:t>
      </w:r>
      <w:proofErr w:type="spellEnd"/>
      <w:r w:rsidRPr="00643EF0">
        <w:rPr>
          <w:szCs w:val="22"/>
          <w:lang w:val="hu"/>
        </w:rPr>
        <w:t xml:space="preserve">, az </w:t>
      </w:r>
      <w:proofErr w:type="spellStart"/>
      <w:r w:rsidRPr="00643EF0">
        <w:rPr>
          <w:szCs w:val="22"/>
          <w:lang w:val="hu"/>
        </w:rPr>
        <w:t>imidazopiridinektől</w:t>
      </w:r>
      <w:proofErr w:type="spellEnd"/>
      <w:r w:rsidRPr="00643EF0">
        <w:rPr>
          <w:szCs w:val="22"/>
          <w:lang w:val="hu"/>
        </w:rPr>
        <w:t xml:space="preserve">, a </w:t>
      </w:r>
      <w:proofErr w:type="spellStart"/>
      <w:r w:rsidRPr="00643EF0">
        <w:rPr>
          <w:szCs w:val="22"/>
          <w:lang w:val="hu"/>
        </w:rPr>
        <w:t>benzodiazepinektől</w:t>
      </w:r>
      <w:proofErr w:type="spellEnd"/>
      <w:r w:rsidRPr="00643EF0">
        <w:rPr>
          <w:szCs w:val="22"/>
          <w:lang w:val="hu"/>
        </w:rPr>
        <w:t xml:space="preserve"> vagy a barbiturátoktól.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pontos hatásmechanizmusa nem ismert, de azt feltételezik, hogy hatása a gamma-</w:t>
      </w:r>
      <w:proofErr w:type="spellStart"/>
      <w:r w:rsidRPr="00643EF0">
        <w:rPr>
          <w:szCs w:val="22"/>
          <w:lang w:val="hu"/>
        </w:rPr>
        <w:t>amino</w:t>
      </w:r>
      <w:proofErr w:type="spellEnd"/>
      <w:r w:rsidRPr="00643EF0">
        <w:rPr>
          <w:szCs w:val="22"/>
          <w:lang w:val="hu"/>
        </w:rPr>
        <w:t xml:space="preserve">-vajsav (GABA)-A-receptor alfa-1, alfa-2, alfa-3 és alfa-5 alegységeket tartalmazó </w:t>
      </w:r>
      <w:proofErr w:type="spellStart"/>
      <w:r w:rsidRPr="00643EF0">
        <w:rPr>
          <w:szCs w:val="22"/>
          <w:lang w:val="hu"/>
        </w:rPr>
        <w:t>makromolekuláris</w:t>
      </w:r>
      <w:proofErr w:type="spellEnd"/>
      <w:r w:rsidRPr="00643EF0">
        <w:rPr>
          <w:szCs w:val="22"/>
          <w:lang w:val="hu"/>
        </w:rPr>
        <w:t xml:space="preserve"> komplexek módosításából ered. Feltevések szerint a hatóanyag fokozza a GABA által kiváltott klorid</w:t>
      </w:r>
      <w:r w:rsidR="0070115B">
        <w:rPr>
          <w:szCs w:val="22"/>
          <w:lang w:val="hu"/>
        </w:rPr>
        <w:t>-ion</w:t>
      </w:r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konduktivitást</w:t>
      </w:r>
      <w:proofErr w:type="spellEnd"/>
      <w:r w:rsidRPr="00643EF0">
        <w:rPr>
          <w:szCs w:val="22"/>
          <w:lang w:val="hu"/>
        </w:rPr>
        <w:t xml:space="preserve">, ami </w:t>
      </w:r>
      <w:proofErr w:type="spellStart"/>
      <w:r w:rsidRPr="00643EF0">
        <w:rPr>
          <w:szCs w:val="22"/>
          <w:lang w:val="hu"/>
        </w:rPr>
        <w:t>neuronális</w:t>
      </w:r>
      <w:proofErr w:type="spellEnd"/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hiperpolarizációt</w:t>
      </w:r>
      <w:proofErr w:type="spellEnd"/>
      <w:r w:rsidRPr="00643EF0">
        <w:rPr>
          <w:szCs w:val="22"/>
          <w:lang w:val="hu"/>
        </w:rPr>
        <w:t xml:space="preserve"> eredményezve gátolja a </w:t>
      </w:r>
      <w:proofErr w:type="spellStart"/>
      <w:r w:rsidRPr="00643EF0">
        <w:rPr>
          <w:szCs w:val="22"/>
          <w:lang w:val="hu"/>
        </w:rPr>
        <w:t>neuronális</w:t>
      </w:r>
      <w:proofErr w:type="spellEnd"/>
      <w:r w:rsidRPr="00643EF0">
        <w:rPr>
          <w:szCs w:val="22"/>
          <w:lang w:val="hu"/>
        </w:rPr>
        <w:t xml:space="preserve"> jelátvitelt, így előidézi az alvást.</w:t>
      </w:r>
    </w:p>
    <w:p w14:paraId="15F349F0" w14:textId="77777777" w:rsidR="00CB1F55" w:rsidRPr="00643EF0" w:rsidRDefault="00CB1F55" w:rsidP="008D423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u w:val="single"/>
        </w:rPr>
      </w:pPr>
    </w:p>
    <w:p w14:paraId="316827DF" w14:textId="77777777" w:rsidR="00CB1F55" w:rsidRPr="00643EF0" w:rsidRDefault="00CB1F55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 w:rsidRPr="00643EF0">
        <w:rPr>
          <w:i/>
          <w:iCs/>
          <w:szCs w:val="22"/>
          <w:lang w:val="hu"/>
        </w:rPr>
        <w:t>Átmeneti álmatlanság</w:t>
      </w:r>
    </w:p>
    <w:p w14:paraId="03CE6BE2" w14:textId="74782FF3" w:rsidR="00CB1F55" w:rsidRPr="00643EF0" w:rsidRDefault="00CB1F55" w:rsidP="00770FF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Átmeneti álmatlanság egy éjszakás modelljében egészséges, felnőtt önkénteseknél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3 mg-os adagja jobbnak bizonyult a </w:t>
      </w:r>
      <w:proofErr w:type="spellStart"/>
      <w:r w:rsidRPr="00643EF0">
        <w:rPr>
          <w:szCs w:val="22"/>
          <w:lang w:val="hu"/>
        </w:rPr>
        <w:t>placebónál</w:t>
      </w:r>
      <w:proofErr w:type="spellEnd"/>
      <w:r w:rsidRPr="00643EF0">
        <w:rPr>
          <w:szCs w:val="22"/>
          <w:lang w:val="hu"/>
        </w:rPr>
        <w:t xml:space="preserve"> az alvás kialakulásának és az alvás fenntartásának objektív </w:t>
      </w:r>
      <w:proofErr w:type="spellStart"/>
      <w:r w:rsidRPr="00643EF0">
        <w:rPr>
          <w:szCs w:val="22"/>
          <w:lang w:val="hu"/>
        </w:rPr>
        <w:t>poliszomnográfiával</w:t>
      </w:r>
      <w:proofErr w:type="spellEnd"/>
      <w:r w:rsidRPr="00643EF0">
        <w:rPr>
          <w:szCs w:val="22"/>
          <w:lang w:val="hu"/>
        </w:rPr>
        <w:t xml:space="preserve"> mért mérőszámait tekintve. Továbbá a résztvevők által az alvás minőségére és mélységére adott pontszámok szignifikánsan jobbak voltak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ra</w:t>
      </w:r>
      <w:proofErr w:type="spellEnd"/>
      <w:r w:rsidRPr="00643EF0">
        <w:rPr>
          <w:szCs w:val="22"/>
          <w:lang w:val="hu"/>
        </w:rPr>
        <w:t xml:space="preserve">, mint </w:t>
      </w:r>
      <w:proofErr w:type="spellStart"/>
      <w:r w:rsidRPr="00643EF0">
        <w:rPr>
          <w:szCs w:val="22"/>
          <w:lang w:val="hu"/>
        </w:rPr>
        <w:t>placebóra</w:t>
      </w:r>
      <w:proofErr w:type="spellEnd"/>
      <w:r w:rsidRPr="00643EF0">
        <w:rPr>
          <w:szCs w:val="22"/>
          <w:lang w:val="hu"/>
        </w:rPr>
        <w:t xml:space="preserve"> vonatkozóan.</w:t>
      </w:r>
    </w:p>
    <w:p w14:paraId="210D76B9" w14:textId="77777777" w:rsidR="00CB1F55" w:rsidRPr="00643EF0" w:rsidRDefault="00CB1F55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03CB3061" w14:textId="5A3CA6D2" w:rsidR="00E270B0" w:rsidRPr="00643EF0" w:rsidRDefault="00CB1F55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 w:rsidRPr="00643EF0">
        <w:rPr>
          <w:i/>
          <w:iCs/>
          <w:szCs w:val="22"/>
          <w:lang w:val="hu"/>
        </w:rPr>
        <w:t>Elsődleges álmatlanság</w:t>
      </w:r>
    </w:p>
    <w:p w14:paraId="6A79201C" w14:textId="62918BA4" w:rsidR="00CB1F55" w:rsidRPr="00643EF0" w:rsidRDefault="00CB1F55" w:rsidP="00770FF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Krónikus </w:t>
      </w:r>
      <w:proofErr w:type="spellStart"/>
      <w:r w:rsidRPr="00643EF0">
        <w:rPr>
          <w:szCs w:val="22"/>
          <w:lang w:val="hu"/>
        </w:rPr>
        <w:t>insomniában</w:t>
      </w:r>
      <w:proofErr w:type="spellEnd"/>
      <w:r w:rsidRPr="00643EF0">
        <w:rPr>
          <w:szCs w:val="22"/>
          <w:lang w:val="hu"/>
        </w:rPr>
        <w:t xml:space="preserve"> szenvedő résztvevők legfeljebb 6 hónapig tartó, placebokontrollos vizsgálataiban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tartósan javította az alvás kialakulásának és az éjszakai felébredések mérőszámait, javította a teljes alvásidőt és az alvás minőségét (helyreállító alvás) a kezelés teljes időtartama alatt, </w:t>
      </w:r>
      <w:proofErr w:type="spellStart"/>
      <w:r w:rsidRPr="00643EF0">
        <w:rPr>
          <w:szCs w:val="22"/>
          <w:lang w:val="hu"/>
        </w:rPr>
        <w:t>poliszomnográfia</w:t>
      </w:r>
      <w:proofErr w:type="spellEnd"/>
      <w:r w:rsidRPr="00643EF0">
        <w:rPr>
          <w:szCs w:val="22"/>
          <w:lang w:val="hu"/>
        </w:rPr>
        <w:t xml:space="preserve"> és szubjektív kimeneteli mérések alapján megállapítva. A másnapi funkcionalitás számos mérőszám alapján javult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alkalmazása révén. Nem figyelték meg tolerancia kialakulását azokban a placebokontrollos vizsgálatokban, amelyeket krónikus álmatlanságban szenvedő, legfeljebb 6 hónapig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nal</w:t>
      </w:r>
      <w:proofErr w:type="spellEnd"/>
      <w:r w:rsidRPr="00643EF0">
        <w:rPr>
          <w:szCs w:val="22"/>
          <w:lang w:val="hu"/>
        </w:rPr>
        <w:t xml:space="preserve"> kezelt résztvevőkkel, valamint álmatlanságban vagy depresszió, szorongás vagy fájdalom társbetegségekben szenvedő, legfeljebb 8 hétig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nal</w:t>
      </w:r>
      <w:proofErr w:type="spellEnd"/>
      <w:r w:rsidRPr="00643EF0">
        <w:rPr>
          <w:szCs w:val="22"/>
          <w:lang w:val="hu"/>
        </w:rPr>
        <w:t xml:space="preserve"> kezelt résztvevőkkel végeztek. Megjegyzendő, hogy a felnőtteknél alkalmazott 1 mg-os adag hatásossága inkonzisztens volt az alvás kialakulásának javítása vagy az éjszakai felébredés mérőszámai vonatkozásában, és egyetlen vizsgálatban sem javította a teljes alvásidőt. Ezért a felnőtteknél várható szokásos hatásos dózis 2 vagy 3 mg.</w:t>
      </w:r>
    </w:p>
    <w:p w14:paraId="43D1BF1E" w14:textId="77777777" w:rsidR="00CB1F55" w:rsidRPr="00643EF0" w:rsidRDefault="00CB1F55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609DBFC8" w14:textId="77777777" w:rsidR="00CB1F55" w:rsidRPr="00643EF0" w:rsidRDefault="00CB1F55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 w:rsidRPr="00643EF0">
        <w:rPr>
          <w:i/>
          <w:iCs/>
          <w:szCs w:val="22"/>
          <w:lang w:val="hu"/>
        </w:rPr>
        <w:t>Társbetegséggel járó álmatlanság</w:t>
      </w:r>
    </w:p>
    <w:p w14:paraId="1ED34C5A" w14:textId="476831EC" w:rsidR="00CB1F55" w:rsidRPr="00643EF0" w:rsidRDefault="00CB1F55" w:rsidP="00770FF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Depresszióval vagy szorongással társuló </w:t>
      </w:r>
      <w:proofErr w:type="spellStart"/>
      <w:r w:rsidRPr="00643EF0">
        <w:rPr>
          <w:szCs w:val="22"/>
          <w:lang w:val="hu"/>
        </w:rPr>
        <w:t>insomniás</w:t>
      </w:r>
      <w:proofErr w:type="spellEnd"/>
      <w:r w:rsidRPr="00643EF0">
        <w:rPr>
          <w:szCs w:val="22"/>
          <w:lang w:val="hu"/>
        </w:rPr>
        <w:t xml:space="preserve"> résztvevőknél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és egy szelektív szerotonin</w:t>
      </w:r>
      <w:r w:rsidR="00D966EF">
        <w:rPr>
          <w:szCs w:val="22"/>
          <w:lang w:val="hu"/>
        </w:rPr>
        <w:t>visszavétel</w:t>
      </w:r>
      <w:r w:rsidRPr="00643EF0">
        <w:rPr>
          <w:szCs w:val="22"/>
          <w:lang w:val="hu"/>
        </w:rPr>
        <w:t xml:space="preserve">-gátló (SSRI) 8 héten át tartó egyidejű alkalmazása szignifikánsan javította az </w:t>
      </w:r>
      <w:r w:rsidRPr="00643EF0">
        <w:rPr>
          <w:szCs w:val="22"/>
          <w:lang w:val="hu"/>
        </w:rPr>
        <w:lastRenderedPageBreak/>
        <w:t xml:space="preserve">alvás mérőszámait, valamint az antidepresszánsra és az </w:t>
      </w:r>
      <w:proofErr w:type="spellStart"/>
      <w:r w:rsidRPr="00643EF0">
        <w:rPr>
          <w:szCs w:val="22"/>
          <w:lang w:val="hu"/>
        </w:rPr>
        <w:t>anxiolitikumra</w:t>
      </w:r>
      <w:proofErr w:type="spellEnd"/>
      <w:r w:rsidRPr="00643EF0">
        <w:rPr>
          <w:szCs w:val="22"/>
          <w:lang w:val="hu"/>
        </w:rPr>
        <w:t xml:space="preserve"> adott válasz egyes klinikailag releváns mérőszámait (pl. Hamilton-féle depresszió-</w:t>
      </w:r>
      <w:r w:rsidR="00D966EF">
        <w:rPr>
          <w:szCs w:val="22"/>
          <w:lang w:val="hu"/>
        </w:rPr>
        <w:t>,</w:t>
      </w:r>
      <w:r w:rsidRPr="00643EF0">
        <w:rPr>
          <w:szCs w:val="22"/>
          <w:lang w:val="hu"/>
        </w:rPr>
        <w:t xml:space="preserve"> ill. szorongásértékelő skála) a </w:t>
      </w:r>
      <w:proofErr w:type="spellStart"/>
      <w:r w:rsidRPr="00643EF0">
        <w:rPr>
          <w:szCs w:val="22"/>
          <w:lang w:val="hu"/>
        </w:rPr>
        <w:t>monoterápiában</w:t>
      </w:r>
      <w:proofErr w:type="spellEnd"/>
      <w:r w:rsidRPr="00643EF0">
        <w:rPr>
          <w:szCs w:val="22"/>
          <w:lang w:val="hu"/>
        </w:rPr>
        <w:t xml:space="preserve"> alkalmazott SSRI-vel összehasonlítva. </w:t>
      </w:r>
      <w:proofErr w:type="spellStart"/>
      <w:r w:rsidRPr="00643EF0">
        <w:rPr>
          <w:szCs w:val="22"/>
          <w:lang w:val="hu"/>
        </w:rPr>
        <w:t>Rheumatoid</w:t>
      </w:r>
      <w:proofErr w:type="spellEnd"/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arthritisszel</w:t>
      </w:r>
      <w:proofErr w:type="spellEnd"/>
      <w:r w:rsidRPr="00643EF0">
        <w:rPr>
          <w:szCs w:val="22"/>
          <w:lang w:val="hu"/>
        </w:rPr>
        <w:t xml:space="preserve"> vagy perimenopauzás tünetekkel társuló </w:t>
      </w:r>
      <w:proofErr w:type="spellStart"/>
      <w:r w:rsidRPr="00643EF0">
        <w:rPr>
          <w:szCs w:val="22"/>
          <w:lang w:val="hu"/>
        </w:rPr>
        <w:t>insomnia</w:t>
      </w:r>
      <w:proofErr w:type="spellEnd"/>
      <w:r w:rsidRPr="00643EF0">
        <w:rPr>
          <w:szCs w:val="22"/>
          <w:lang w:val="hu"/>
        </w:rPr>
        <w:t xml:space="preserve"> 4 hetes vizsgálataiban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szignifikánsan javította az alvás mérőszámait (az alvás kialakulása és fenntartása) a vizsgálat idejére. Ezekben a vizsgálatokban azt is megfigyelték, hogy javult az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nal</w:t>
      </w:r>
      <w:proofErr w:type="spellEnd"/>
      <w:r w:rsidRPr="00643EF0">
        <w:rPr>
          <w:szCs w:val="22"/>
          <w:lang w:val="hu"/>
        </w:rPr>
        <w:t xml:space="preserve"> kezelt </w:t>
      </w:r>
      <w:proofErr w:type="spellStart"/>
      <w:r w:rsidRPr="00643EF0">
        <w:rPr>
          <w:szCs w:val="22"/>
          <w:lang w:val="hu"/>
        </w:rPr>
        <w:t>rheumatoid</w:t>
      </w:r>
      <w:proofErr w:type="spellEnd"/>
      <w:r w:rsidRPr="00643EF0">
        <w:rPr>
          <w:szCs w:val="22"/>
          <w:lang w:val="hu"/>
        </w:rPr>
        <w:t xml:space="preserve"> </w:t>
      </w:r>
      <w:proofErr w:type="spellStart"/>
      <w:r w:rsidRPr="00643EF0">
        <w:rPr>
          <w:szCs w:val="22"/>
          <w:lang w:val="hu"/>
        </w:rPr>
        <w:t>arthritises</w:t>
      </w:r>
      <w:proofErr w:type="spellEnd"/>
      <w:r w:rsidRPr="00643EF0">
        <w:rPr>
          <w:szCs w:val="22"/>
          <w:lang w:val="hu"/>
        </w:rPr>
        <w:t xml:space="preserve"> résztvevők fájdalomérzete, valamint az </w:t>
      </w:r>
      <w:proofErr w:type="spellStart"/>
      <w:r w:rsidR="007040EF">
        <w:rPr>
          <w:szCs w:val="22"/>
          <w:lang w:val="hu"/>
        </w:rPr>
        <w:t>eszzopiklon</w:t>
      </w:r>
      <w:r w:rsidRPr="00643EF0">
        <w:rPr>
          <w:szCs w:val="22"/>
          <w:lang w:val="hu"/>
        </w:rPr>
        <w:t>nal</w:t>
      </w:r>
      <w:proofErr w:type="spellEnd"/>
      <w:r w:rsidRPr="00643EF0">
        <w:rPr>
          <w:szCs w:val="22"/>
          <w:lang w:val="hu"/>
        </w:rPr>
        <w:t xml:space="preserve"> kezelt perimenopauzás és menopauzás nők hangulata és a menopauzával kapcsolatos tüneteik.</w:t>
      </w:r>
    </w:p>
    <w:p w14:paraId="2B24D35E" w14:textId="77777777" w:rsidR="00CB1F55" w:rsidRPr="00643EF0" w:rsidRDefault="00CB1F55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6496E07B" w14:textId="4D1470DE" w:rsidR="005847F2" w:rsidRPr="0082217D" w:rsidRDefault="005847F2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2217D">
        <w:rPr>
          <w:i/>
          <w:iCs/>
          <w:szCs w:val="22"/>
          <w:lang w:val="hu"/>
        </w:rPr>
        <w:t>Idős</w:t>
      </w:r>
      <w:r w:rsidR="00D966EF">
        <w:rPr>
          <w:i/>
          <w:iCs/>
          <w:szCs w:val="22"/>
          <w:lang w:val="hu"/>
        </w:rPr>
        <w:t>ek</w:t>
      </w:r>
    </w:p>
    <w:p w14:paraId="306023D3" w14:textId="2040F57C" w:rsidR="00C91148" w:rsidRPr="007B3CA8" w:rsidRDefault="005847F2" w:rsidP="00770FF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A2123E">
        <w:rPr>
          <w:szCs w:val="22"/>
          <w:lang w:val="hu"/>
        </w:rPr>
        <w:t xml:space="preserve">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A2123E">
        <w:rPr>
          <w:szCs w:val="22"/>
          <w:lang w:val="hu"/>
        </w:rPr>
        <w:t xml:space="preserve">-expozíció emelkedett 65 éves vagy idősebb betegeknél (lásd 5.2 pont), és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A2123E">
        <w:rPr>
          <w:szCs w:val="22"/>
          <w:lang w:val="hu"/>
        </w:rPr>
        <w:t xml:space="preserve"> teljes napi adagja legfeljebb 2 mg lehet idős betegeknél. Krónikus álmatlanságban szenvedő idős betegek legfeljebb 12 hétig tartó, véletlen besorolásos, kettős vak, placebokontrollos vizsgálataiban a naponta egyszer, lefekvés előtt alkalmazott 2 mg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A2123E">
        <w:rPr>
          <w:szCs w:val="22"/>
          <w:lang w:val="hu"/>
        </w:rPr>
        <w:t xml:space="preserve"> szignifikánsan javította az alvás mérőszámait (az alvás kialakulása és fenntartása) a vizsgálat idejére.</w:t>
      </w:r>
    </w:p>
    <w:p w14:paraId="00B23B34" w14:textId="77777777" w:rsidR="005847F2" w:rsidRPr="00643EF0" w:rsidRDefault="005847F2" w:rsidP="00CB1F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3ECD793E" w14:textId="0A8559EC" w:rsidR="001D29E6" w:rsidRPr="0082217D" w:rsidRDefault="00E82DD0" w:rsidP="008D4234">
      <w:pPr>
        <w:spacing w:line="240" w:lineRule="auto"/>
        <w:rPr>
          <w:i/>
          <w:szCs w:val="22"/>
        </w:rPr>
      </w:pPr>
      <w:r w:rsidRPr="0082217D">
        <w:rPr>
          <w:i/>
          <w:iCs/>
          <w:szCs w:val="22"/>
          <w:lang w:val="hu"/>
        </w:rPr>
        <w:t>Gyermekek és serdülők</w:t>
      </w:r>
    </w:p>
    <w:p w14:paraId="63723026" w14:textId="0C953311" w:rsidR="00E82DD0" w:rsidRPr="00643EF0" w:rsidRDefault="00E82DD0" w:rsidP="00770FF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Az Európai Gyógyszerügynökség </w:t>
      </w:r>
      <w:r w:rsidR="009841FC" w:rsidRPr="00643EF0">
        <w:rPr>
          <w:szCs w:val="22"/>
          <w:lang w:val="hu"/>
        </w:rPr>
        <w:t xml:space="preserve">az álmatlanság kezelésében </w:t>
      </w:r>
      <w:r w:rsidRPr="00643EF0">
        <w:rPr>
          <w:szCs w:val="22"/>
          <w:lang w:val="hu"/>
        </w:rPr>
        <w:t xml:space="preserve">a gyermekek esetén minden korosztálynál halasztást engedélyez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="007040EF">
        <w:rPr>
          <w:szCs w:val="22"/>
          <w:lang w:val="hu"/>
        </w:rPr>
        <w:t>-</w:t>
      </w:r>
      <w:r w:rsidRPr="00643EF0">
        <w:rPr>
          <w:szCs w:val="22"/>
          <w:lang w:val="hu"/>
        </w:rPr>
        <w:t xml:space="preserve">tartalmú referenciakészítmény vizsgálati eredményeinek benyújtási kötelezettségét illetően. Lásd 4.2 pont, gyermekgyógyászati alkalmazásra vonatkozó információk. </w:t>
      </w:r>
    </w:p>
    <w:p w14:paraId="20A5DAA3" w14:textId="77777777" w:rsidR="00EF5E3C" w:rsidRPr="0082217D" w:rsidRDefault="00EF5E3C" w:rsidP="008D4234">
      <w:pPr>
        <w:spacing w:line="240" w:lineRule="auto"/>
        <w:rPr>
          <w:szCs w:val="22"/>
        </w:rPr>
      </w:pPr>
    </w:p>
    <w:p w14:paraId="6BB10CEC" w14:textId="77777777" w:rsidR="001D29E6" w:rsidRPr="00A2123E" w:rsidRDefault="001D29E6" w:rsidP="000244A6">
      <w:pPr>
        <w:pStyle w:val="Cmsor2"/>
        <w:rPr>
          <w:szCs w:val="22"/>
        </w:rPr>
      </w:pPr>
      <w:r w:rsidRPr="00A2123E">
        <w:rPr>
          <w:bCs/>
          <w:szCs w:val="22"/>
          <w:lang w:val="hu"/>
        </w:rPr>
        <w:t>5.2</w:t>
      </w:r>
      <w:r w:rsidRPr="00A2123E">
        <w:rPr>
          <w:bCs/>
          <w:szCs w:val="22"/>
          <w:lang w:val="hu"/>
        </w:rPr>
        <w:tab/>
      </w:r>
      <w:proofErr w:type="spellStart"/>
      <w:r w:rsidRPr="00A2123E">
        <w:rPr>
          <w:bCs/>
          <w:szCs w:val="22"/>
          <w:lang w:val="hu"/>
        </w:rPr>
        <w:t>Farmakokinetikai</w:t>
      </w:r>
      <w:proofErr w:type="spellEnd"/>
      <w:r w:rsidRPr="00A2123E">
        <w:rPr>
          <w:bCs/>
          <w:szCs w:val="22"/>
          <w:lang w:val="hu"/>
        </w:rPr>
        <w:t xml:space="preserve"> tulajdonságok</w:t>
      </w:r>
    </w:p>
    <w:p w14:paraId="0249ABEE" w14:textId="77777777" w:rsidR="00C53ACC" w:rsidRPr="007B3CA8" w:rsidRDefault="00C53ACC" w:rsidP="008D4234">
      <w:pPr>
        <w:spacing w:line="240" w:lineRule="auto"/>
        <w:rPr>
          <w:szCs w:val="22"/>
        </w:rPr>
      </w:pPr>
    </w:p>
    <w:p w14:paraId="5F55760B" w14:textId="77777777" w:rsidR="00777769" w:rsidRPr="00643EF0" w:rsidRDefault="00777769" w:rsidP="008D4234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u w:val="single"/>
        </w:rPr>
      </w:pPr>
      <w:r w:rsidRPr="00643EF0">
        <w:rPr>
          <w:noProof/>
          <w:szCs w:val="22"/>
          <w:u w:val="single"/>
          <w:lang w:val="hu"/>
        </w:rPr>
        <w:t>Felszívódás</w:t>
      </w:r>
    </w:p>
    <w:p w14:paraId="6C9E60C2" w14:textId="70679A71" w:rsidR="00FA3116" w:rsidRPr="00643EF0" w:rsidRDefault="00FA3116" w:rsidP="00FA3116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a szájon át történő beadást követően gyorsan felszívódik. A plazma csúcskoncentráció a szájon át történő beadás után 1 órán belül kialakul.</w:t>
      </w:r>
    </w:p>
    <w:p w14:paraId="12F2DE60" w14:textId="77777777" w:rsidR="00FA3116" w:rsidRPr="00643EF0" w:rsidRDefault="00FA3116" w:rsidP="008D4234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u w:val="single"/>
        </w:rPr>
      </w:pPr>
    </w:p>
    <w:p w14:paraId="0A49D1EF" w14:textId="77777777" w:rsidR="00777769" w:rsidRPr="00643EF0" w:rsidRDefault="00777769" w:rsidP="008D4234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u w:val="single"/>
        </w:rPr>
      </w:pPr>
      <w:r w:rsidRPr="00643EF0">
        <w:rPr>
          <w:noProof/>
          <w:szCs w:val="22"/>
          <w:u w:val="single"/>
          <w:lang w:val="hu"/>
        </w:rPr>
        <w:t>Eloszlás</w:t>
      </w:r>
    </w:p>
    <w:p w14:paraId="4D07751F" w14:textId="4BC6838F" w:rsidR="00FA3116" w:rsidRPr="00643EF0" w:rsidRDefault="00FA3116" w:rsidP="00FA3116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gyengén kötődik plazmafehérjékhez (52-59%). Emiatt nem valószínű, hogy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diszpozícióját befolyásolnák a gyógyszerek közötti, fehérjekötődés okozta interakciók.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vér-plazma aránya kevesebb mint egy, ami azt jelzi, hogy nem veszik fel szelektíven a vörösvértestek.</w:t>
      </w:r>
    </w:p>
    <w:p w14:paraId="3225020D" w14:textId="77777777" w:rsidR="00FA3116" w:rsidRPr="00643EF0" w:rsidRDefault="00FA3116" w:rsidP="008D4234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u w:val="single"/>
        </w:rPr>
      </w:pPr>
    </w:p>
    <w:p w14:paraId="50CC73C1" w14:textId="77777777" w:rsidR="00FA3116" w:rsidRPr="00643EF0" w:rsidRDefault="00FA3116" w:rsidP="00FA311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>Metabolizmus</w:t>
      </w:r>
    </w:p>
    <w:p w14:paraId="4E819472" w14:textId="576680EF" w:rsidR="00FA3116" w:rsidRPr="00643EF0" w:rsidRDefault="00FA3116" w:rsidP="00FA311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 xml:space="preserve">Szájon át történő alkalmazás után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nagy mértékben, oxidáció és </w:t>
      </w:r>
      <w:proofErr w:type="spellStart"/>
      <w:r w:rsidRPr="00643EF0">
        <w:rPr>
          <w:szCs w:val="22"/>
          <w:lang w:val="hu"/>
        </w:rPr>
        <w:t>demetileződés</w:t>
      </w:r>
      <w:proofErr w:type="spellEnd"/>
      <w:r w:rsidRPr="00643EF0">
        <w:rPr>
          <w:szCs w:val="22"/>
          <w:lang w:val="hu"/>
        </w:rPr>
        <w:t xml:space="preserve"> útján </w:t>
      </w:r>
      <w:proofErr w:type="spellStart"/>
      <w:r w:rsidRPr="00643EF0">
        <w:rPr>
          <w:szCs w:val="22"/>
          <w:lang w:val="hu"/>
        </w:rPr>
        <w:t>metabolizálódik</w:t>
      </w:r>
      <w:proofErr w:type="spellEnd"/>
      <w:r w:rsidRPr="00643EF0">
        <w:rPr>
          <w:szCs w:val="22"/>
          <w:lang w:val="hu"/>
        </w:rPr>
        <w:t xml:space="preserve">. Az elsődleges </w:t>
      </w:r>
      <w:proofErr w:type="spellStart"/>
      <w:r w:rsidRPr="00643EF0">
        <w:rPr>
          <w:szCs w:val="22"/>
          <w:lang w:val="hu"/>
        </w:rPr>
        <w:t>metabolitok</w:t>
      </w:r>
      <w:proofErr w:type="spellEnd"/>
      <w:r w:rsidRPr="00643EF0">
        <w:rPr>
          <w:szCs w:val="22"/>
          <w:lang w:val="hu"/>
        </w:rPr>
        <w:t xml:space="preserve"> a plazmában az (S)-</w:t>
      </w:r>
      <w:proofErr w:type="spellStart"/>
      <w:r w:rsidRPr="00643EF0">
        <w:rPr>
          <w:szCs w:val="22"/>
          <w:lang w:val="hu"/>
        </w:rPr>
        <w:t>zopiklon</w:t>
      </w:r>
      <w:proofErr w:type="spellEnd"/>
      <w:r w:rsidRPr="00643EF0">
        <w:rPr>
          <w:szCs w:val="22"/>
          <w:lang w:val="hu"/>
        </w:rPr>
        <w:t>-N-oxid és az (S)-N-</w:t>
      </w:r>
      <w:proofErr w:type="spellStart"/>
      <w:r w:rsidRPr="00643EF0">
        <w:rPr>
          <w:szCs w:val="22"/>
          <w:lang w:val="hu"/>
        </w:rPr>
        <w:t>dezmetil</w:t>
      </w:r>
      <w:proofErr w:type="spellEnd"/>
      <w:r w:rsidRPr="00643EF0">
        <w:rPr>
          <w:szCs w:val="22"/>
          <w:lang w:val="hu"/>
        </w:rPr>
        <w:t>-</w:t>
      </w:r>
      <w:proofErr w:type="spellStart"/>
      <w:r w:rsidRPr="00643EF0">
        <w:rPr>
          <w:szCs w:val="22"/>
          <w:lang w:val="hu"/>
        </w:rPr>
        <w:t>zopiklon</w:t>
      </w:r>
      <w:proofErr w:type="spellEnd"/>
      <w:r w:rsidRPr="00643EF0">
        <w:rPr>
          <w:szCs w:val="22"/>
          <w:lang w:val="hu"/>
        </w:rPr>
        <w:t xml:space="preserve">. </w:t>
      </w:r>
    </w:p>
    <w:p w14:paraId="5C28B161" w14:textId="4FE3FE95" w:rsidR="00FA3116" w:rsidRPr="00643EF0" w:rsidRDefault="00FA3116" w:rsidP="005A188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i/>
          <w:iCs/>
          <w:szCs w:val="22"/>
          <w:lang w:val="hu"/>
        </w:rPr>
        <w:t xml:space="preserve">In vitro </w:t>
      </w:r>
      <w:r w:rsidRPr="00643EF0">
        <w:rPr>
          <w:szCs w:val="22"/>
          <w:lang w:val="hu"/>
        </w:rPr>
        <w:t xml:space="preserve">vizsgálatokban igazolták, hogy a CYP3A4 és CYP2E1 enzimek szerepet töltenek be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metabolizmusában. Emberi májsejteken végzett </w:t>
      </w:r>
      <w:r w:rsidRPr="00643EF0">
        <w:rPr>
          <w:i/>
          <w:iCs/>
          <w:szCs w:val="22"/>
          <w:lang w:val="hu"/>
        </w:rPr>
        <w:t>in vitro</w:t>
      </w:r>
      <w:r w:rsidRPr="00643EF0">
        <w:rPr>
          <w:szCs w:val="22"/>
          <w:lang w:val="hu"/>
        </w:rPr>
        <w:t xml:space="preserve"> vizsgálatokban nem figyelték meg a CYP450 1A2, 2A6, 2C9, 2C19, 2D6, 2E1 és 3A4 enzimek gátlását. Emberben </w:t>
      </w:r>
      <w:proofErr w:type="spellStart"/>
      <w:r w:rsidRPr="00643EF0">
        <w:rPr>
          <w:szCs w:val="22"/>
          <w:lang w:val="hu"/>
        </w:rPr>
        <w:t>ketokonazol</w:t>
      </w:r>
      <w:proofErr w:type="spellEnd"/>
      <w:r w:rsidRPr="00643EF0">
        <w:rPr>
          <w:szCs w:val="22"/>
          <w:lang w:val="hu"/>
        </w:rPr>
        <w:t xml:space="preserve"> egyidejű alkalmazása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-expozíció emelkedését váltotta ki. A potens CYP3A4-induktorok várhatólag csökkentik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szisztémás expozícióját.</w:t>
      </w:r>
    </w:p>
    <w:p w14:paraId="2029B985" w14:textId="77777777" w:rsidR="00FA3116" w:rsidRPr="00643EF0" w:rsidRDefault="00FA3116" w:rsidP="00FA311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BBEF0A4" w14:textId="77777777" w:rsidR="005A1886" w:rsidRPr="00643EF0" w:rsidRDefault="00777769" w:rsidP="008D4234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u w:val="single"/>
        </w:rPr>
      </w:pPr>
      <w:r w:rsidRPr="00643EF0">
        <w:rPr>
          <w:noProof/>
          <w:szCs w:val="22"/>
          <w:u w:val="single"/>
          <w:lang w:val="hu"/>
        </w:rPr>
        <w:t>Elimináció</w:t>
      </w:r>
    </w:p>
    <w:p w14:paraId="6722AECC" w14:textId="61768643" w:rsidR="005A1886" w:rsidRPr="00643EF0" w:rsidRDefault="005A1886" w:rsidP="005A1886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Szájon át történő alkalmazás után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körülbelül 6 órás átlagos felezési idővel ürül. A racém zopiklon </w:t>
      </w:r>
      <w:r w:rsidRPr="00770FF1">
        <w:rPr>
          <w:i/>
          <w:noProof/>
          <w:szCs w:val="22"/>
          <w:lang w:val="hu"/>
        </w:rPr>
        <w:t>per os</w:t>
      </w:r>
      <w:r w:rsidRPr="00643EF0">
        <w:rPr>
          <w:noProof/>
          <w:szCs w:val="22"/>
          <w:lang w:val="hu"/>
        </w:rPr>
        <w:t xml:space="preserve"> adagjának legfeljebb 75%-a ürül a vizelettel, elsősorban metabolitok formájában. Hasonló kiürülési profilra lehet számítani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, a racém zopiklon S-izomere esetében is.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szájon át beadott dózisának kevesebb mint 10%-a ürül változatlan formában a vizelettel.</w:t>
      </w:r>
    </w:p>
    <w:p w14:paraId="3898C59D" w14:textId="77777777" w:rsidR="005A1886" w:rsidRPr="00643EF0" w:rsidRDefault="005A1886" w:rsidP="005A1886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14:paraId="57E1FB64" w14:textId="77777777" w:rsidR="004F4965" w:rsidRPr="00643EF0" w:rsidRDefault="004F4965" w:rsidP="004F4965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u w:val="single"/>
        </w:rPr>
      </w:pPr>
      <w:r w:rsidRPr="00643EF0">
        <w:rPr>
          <w:noProof/>
          <w:szCs w:val="22"/>
          <w:u w:val="single"/>
          <w:lang w:val="hu"/>
        </w:rPr>
        <w:t>Az élelmiszer hatása</w:t>
      </w:r>
    </w:p>
    <w:p w14:paraId="1375FFA0" w14:textId="2C5381A2" w:rsidR="004F4965" w:rsidRPr="00643EF0" w:rsidRDefault="004F4965" w:rsidP="004F4965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Egészséges felnőtteknél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alkalmazása nagy zsírtartalmú étrendet követően a következőkkel járt: nem változott az AUC, az átlag C</w:t>
      </w:r>
      <w:r w:rsidRPr="00643EF0">
        <w:rPr>
          <w:noProof/>
          <w:szCs w:val="22"/>
          <w:vertAlign w:val="subscript"/>
          <w:lang w:val="hu"/>
        </w:rPr>
        <w:t>max</w:t>
      </w:r>
      <w:r w:rsidRPr="00643EF0">
        <w:rPr>
          <w:noProof/>
          <w:szCs w:val="22"/>
          <w:lang w:val="hu"/>
        </w:rPr>
        <w:t xml:space="preserve"> 21%-kal csökkent, a t</w:t>
      </w:r>
      <w:r w:rsidRPr="00643EF0">
        <w:rPr>
          <w:noProof/>
          <w:szCs w:val="22"/>
          <w:vertAlign w:val="subscript"/>
          <w:lang w:val="hu"/>
        </w:rPr>
        <w:t>max</w:t>
      </w:r>
      <w:r w:rsidRPr="00643EF0">
        <w:rPr>
          <w:noProof/>
          <w:szCs w:val="22"/>
          <w:lang w:val="hu"/>
        </w:rPr>
        <w:t xml:space="preserve"> pedig körülbelül 1 órával későbbre csúszott. A felezési idő változatlanul körülbelül 6 óra maradt.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nak az alvás kialakulására kifejtett hatásai kis mértékben csökkenhetnek, ha a </w:t>
      </w:r>
      <w:r w:rsidR="002E0B06">
        <w:rPr>
          <w:noProof/>
          <w:szCs w:val="22"/>
          <w:lang w:val="hu"/>
        </w:rPr>
        <w:t>gyógy</w:t>
      </w:r>
      <w:r w:rsidRPr="00643EF0">
        <w:rPr>
          <w:noProof/>
          <w:szCs w:val="22"/>
          <w:lang w:val="hu"/>
        </w:rPr>
        <w:t>szert magas zsírtartalmú vagy nehéz étkezés közben vagy rögtön azt követően veszik be.</w:t>
      </w:r>
    </w:p>
    <w:p w14:paraId="30DC5DDD" w14:textId="77777777" w:rsidR="004F4965" w:rsidRPr="00643EF0" w:rsidRDefault="004F4965" w:rsidP="005A1886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14:paraId="1109BEBB" w14:textId="77777777" w:rsidR="00777769" w:rsidRPr="00643EF0" w:rsidRDefault="00777769" w:rsidP="008D4234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 w:rsidRPr="00643EF0">
        <w:rPr>
          <w:noProof/>
          <w:szCs w:val="22"/>
          <w:u w:val="single"/>
          <w:lang w:val="hu"/>
        </w:rPr>
        <w:t>Linearitás/nem-linearitás</w:t>
      </w:r>
    </w:p>
    <w:p w14:paraId="3DE6BE70" w14:textId="2C3FCBD6" w:rsidR="009F4BA4" w:rsidRPr="00643EF0" w:rsidRDefault="000C593C" w:rsidP="00770FF1">
      <w:pPr>
        <w:spacing w:line="240" w:lineRule="auto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Egészséges felnőtteknél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nem halmozódik fel napi egyszeri alkalmazás mellett, expozíciója a dózissal arányos az 1–6 mg-os tartományban.</w:t>
      </w:r>
    </w:p>
    <w:p w14:paraId="5824927F" w14:textId="77777777" w:rsidR="003964AC" w:rsidRPr="00643EF0" w:rsidRDefault="003964AC" w:rsidP="000C593C">
      <w:pPr>
        <w:spacing w:line="240" w:lineRule="auto"/>
        <w:jc w:val="both"/>
        <w:rPr>
          <w:iCs/>
          <w:noProof/>
          <w:szCs w:val="22"/>
        </w:rPr>
      </w:pPr>
    </w:p>
    <w:p w14:paraId="0E14FABD" w14:textId="243AD90E" w:rsidR="003964AC" w:rsidRPr="00643EF0" w:rsidRDefault="002E0B06" w:rsidP="003964AC">
      <w:pPr>
        <w:spacing w:line="240" w:lineRule="auto"/>
        <w:jc w:val="both"/>
        <w:rPr>
          <w:iCs/>
          <w:noProof/>
          <w:szCs w:val="22"/>
          <w:u w:val="single"/>
        </w:rPr>
      </w:pPr>
      <w:r>
        <w:rPr>
          <w:noProof/>
          <w:szCs w:val="22"/>
          <w:u w:val="single"/>
          <w:lang w:val="hu"/>
        </w:rPr>
        <w:t>Különleges betegcsoportok</w:t>
      </w:r>
    </w:p>
    <w:p w14:paraId="55E3EE04" w14:textId="77777777" w:rsidR="009C5AD6" w:rsidRPr="00643EF0" w:rsidRDefault="009C5AD6" w:rsidP="003964AC">
      <w:pPr>
        <w:spacing w:line="240" w:lineRule="auto"/>
        <w:jc w:val="both"/>
        <w:rPr>
          <w:iCs/>
          <w:noProof/>
          <w:szCs w:val="22"/>
        </w:rPr>
      </w:pPr>
      <w:r w:rsidRPr="00643EF0">
        <w:rPr>
          <w:i/>
          <w:iCs/>
          <w:noProof/>
          <w:szCs w:val="22"/>
          <w:lang w:val="hu"/>
        </w:rPr>
        <w:t>Idősek</w:t>
      </w:r>
    </w:p>
    <w:p w14:paraId="242EE2A0" w14:textId="5C74D9CD" w:rsidR="003964AC" w:rsidRPr="00643EF0" w:rsidRDefault="006A73B0" w:rsidP="00770FF1">
      <w:pPr>
        <w:spacing w:line="240" w:lineRule="auto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>Fiatalabb</w:t>
      </w:r>
      <w:r w:rsidR="003964AC" w:rsidRPr="00643EF0">
        <w:rPr>
          <w:noProof/>
          <w:szCs w:val="22"/>
          <w:lang w:val="hu"/>
        </w:rPr>
        <w:t xml:space="preserve"> felnőttekkel összehasonlítva</w:t>
      </w:r>
      <w:r w:rsidRPr="00643EF0">
        <w:rPr>
          <w:noProof/>
          <w:szCs w:val="22"/>
          <w:lang w:val="hu"/>
        </w:rPr>
        <w:t>,</w:t>
      </w:r>
      <w:r w:rsidR="003964AC" w:rsidRPr="00643EF0">
        <w:rPr>
          <w:noProof/>
          <w:szCs w:val="22"/>
          <w:lang w:val="hu"/>
        </w:rPr>
        <w:t xml:space="preserve"> a 65 éves és idősebb betegeknél 41%-kal nőtt az expozíció (AUC), valamint kissé megnyúlt az </w:t>
      </w:r>
      <w:r w:rsidR="007040EF">
        <w:rPr>
          <w:noProof/>
          <w:szCs w:val="22"/>
          <w:lang w:val="hu"/>
        </w:rPr>
        <w:t>eszzopiklon</w:t>
      </w:r>
      <w:r w:rsidR="003964AC" w:rsidRPr="00643EF0">
        <w:rPr>
          <w:noProof/>
          <w:szCs w:val="22"/>
          <w:lang w:val="hu"/>
        </w:rPr>
        <w:t xml:space="preserve"> eliminációja (t</w:t>
      </w:r>
      <w:r w:rsidR="003964AC" w:rsidRPr="00643EF0">
        <w:rPr>
          <w:noProof/>
          <w:szCs w:val="22"/>
          <w:vertAlign w:val="subscript"/>
          <w:lang w:val="hu"/>
        </w:rPr>
        <w:t>1/2</w:t>
      </w:r>
      <w:r w:rsidR="003964AC" w:rsidRPr="00643EF0">
        <w:rPr>
          <w:noProof/>
          <w:szCs w:val="22"/>
          <w:lang w:val="hu"/>
        </w:rPr>
        <w:t xml:space="preserve"> hozzávetőlegesen 9 óra). A C</w:t>
      </w:r>
      <w:r w:rsidR="003964AC" w:rsidRPr="00643EF0">
        <w:rPr>
          <w:noProof/>
          <w:szCs w:val="22"/>
          <w:vertAlign w:val="subscript"/>
          <w:lang w:val="hu"/>
        </w:rPr>
        <w:t>max</w:t>
      </w:r>
      <w:r w:rsidR="003964AC" w:rsidRPr="00643EF0">
        <w:rPr>
          <w:noProof/>
          <w:szCs w:val="22"/>
          <w:lang w:val="hu"/>
        </w:rPr>
        <w:t xml:space="preserve"> nem változott. Ennélfogva az </w:t>
      </w:r>
      <w:r w:rsidR="007040EF">
        <w:rPr>
          <w:noProof/>
          <w:szCs w:val="22"/>
          <w:lang w:val="hu"/>
        </w:rPr>
        <w:t>eszzopiklon</w:t>
      </w:r>
      <w:r w:rsidR="003964AC" w:rsidRPr="00643EF0">
        <w:rPr>
          <w:noProof/>
          <w:szCs w:val="22"/>
          <w:lang w:val="hu"/>
        </w:rPr>
        <w:t xml:space="preserve"> összesített adagja idős betegeknél nem haladhatja meg a 2 mg-ot.</w:t>
      </w:r>
    </w:p>
    <w:p w14:paraId="35B8DF6E" w14:textId="77777777" w:rsidR="003964AC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</w:p>
    <w:p w14:paraId="1060477F" w14:textId="77777777" w:rsidR="00D40189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  <w:r w:rsidRPr="00643EF0">
        <w:rPr>
          <w:i/>
          <w:iCs/>
          <w:noProof/>
          <w:szCs w:val="22"/>
          <w:lang w:val="hu"/>
        </w:rPr>
        <w:t>Nem</w:t>
      </w:r>
    </w:p>
    <w:p w14:paraId="58A38005" w14:textId="36104847" w:rsidR="003964AC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farmakokinetikája férfiaknál és nőknél is hasonló.</w:t>
      </w:r>
    </w:p>
    <w:p w14:paraId="13731217" w14:textId="77777777" w:rsidR="003964AC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</w:p>
    <w:p w14:paraId="4089C0C4" w14:textId="57765D78" w:rsidR="00D40189" w:rsidRPr="00643EF0" w:rsidRDefault="00650F74" w:rsidP="003964AC">
      <w:pPr>
        <w:spacing w:line="240" w:lineRule="auto"/>
        <w:jc w:val="both"/>
        <w:rPr>
          <w:iCs/>
          <w:noProof/>
          <w:szCs w:val="22"/>
        </w:rPr>
      </w:pPr>
      <w:r w:rsidRPr="00643EF0">
        <w:rPr>
          <w:i/>
          <w:iCs/>
          <w:noProof/>
          <w:szCs w:val="22"/>
          <w:lang w:val="hu"/>
        </w:rPr>
        <w:t>Etnikai hovatartozás</w:t>
      </w:r>
    </w:p>
    <w:p w14:paraId="7FB4F2D2" w14:textId="14C67775" w:rsidR="003964AC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>Minden vizsgált etnikai csoportban hasonlónak tűnt a szer farmakokinetikája.</w:t>
      </w:r>
    </w:p>
    <w:p w14:paraId="208A368D" w14:textId="77777777" w:rsidR="007D317B" w:rsidRPr="00643EF0" w:rsidRDefault="007D317B" w:rsidP="003964AC">
      <w:pPr>
        <w:spacing w:line="240" w:lineRule="auto"/>
        <w:jc w:val="both"/>
        <w:rPr>
          <w:iCs/>
          <w:noProof/>
          <w:szCs w:val="22"/>
        </w:rPr>
      </w:pPr>
    </w:p>
    <w:p w14:paraId="7C29E0A8" w14:textId="77777777" w:rsidR="00D40189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  <w:r w:rsidRPr="00643EF0">
        <w:rPr>
          <w:i/>
          <w:iCs/>
          <w:noProof/>
          <w:szCs w:val="22"/>
          <w:lang w:val="hu"/>
        </w:rPr>
        <w:t>Májkárosodás</w:t>
      </w:r>
      <w:r w:rsidRPr="00643EF0">
        <w:rPr>
          <w:noProof/>
          <w:szCs w:val="22"/>
          <w:lang w:val="hu"/>
        </w:rPr>
        <w:t xml:space="preserve"> </w:t>
      </w:r>
    </w:p>
    <w:p w14:paraId="6D9C8FDB" w14:textId="292BA270" w:rsidR="003964AC" w:rsidRPr="00643EF0" w:rsidRDefault="003964AC" w:rsidP="00770FF1">
      <w:pPr>
        <w:spacing w:line="240" w:lineRule="auto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A 2 mg-os adag farmakokinetikáját enyhe, középsúlyos és súlyos májkárosodásos betegeknél vizsgálták, majd egészséges önkéntesekével hasonlították össze.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expozíciója 2</w:t>
      </w:r>
      <w:r w:rsidRPr="00643EF0">
        <w:rPr>
          <w:noProof/>
          <w:szCs w:val="22"/>
          <w:lang w:val="hu"/>
        </w:rPr>
        <w:noBreakHyphen/>
        <w:t>szer akkora volt a súlyosan károsodott betegeknél, mint az egészséges önkénteseknél. A megfigyelt maximum koncentráció (C</w:t>
      </w:r>
      <w:r w:rsidRPr="00643EF0">
        <w:rPr>
          <w:noProof/>
          <w:szCs w:val="22"/>
          <w:vertAlign w:val="subscript"/>
          <w:lang w:val="hu"/>
        </w:rPr>
        <w:t>max</w:t>
      </w:r>
      <w:r w:rsidRPr="00643EF0">
        <w:rPr>
          <w:noProof/>
          <w:szCs w:val="22"/>
          <w:lang w:val="hu"/>
        </w:rPr>
        <w:t>) és az annak eléréséhez szükséges idő (t</w:t>
      </w:r>
      <w:r w:rsidRPr="00643EF0">
        <w:rPr>
          <w:noProof/>
          <w:szCs w:val="22"/>
          <w:vertAlign w:val="subscript"/>
          <w:lang w:val="hu"/>
        </w:rPr>
        <w:t>max</w:t>
      </w:r>
      <w:r w:rsidRPr="00643EF0">
        <w:rPr>
          <w:noProof/>
          <w:szCs w:val="22"/>
          <w:lang w:val="hu"/>
        </w:rPr>
        <w:t xml:space="preserve">) nem változott.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ellenjavallt súlyos májkárosodásban szenvedő betegeknél. Enyhe</w:t>
      </w:r>
      <w:r w:rsidR="00A76EFB">
        <w:rPr>
          <w:noProof/>
          <w:szCs w:val="22"/>
          <w:lang w:val="hu"/>
        </w:rPr>
        <w:t xml:space="preserve"> vagy </w:t>
      </w:r>
      <w:r w:rsidRPr="00643EF0">
        <w:rPr>
          <w:noProof/>
          <w:szCs w:val="22"/>
          <w:lang w:val="hu"/>
        </w:rPr>
        <w:t>köz</w:t>
      </w:r>
      <w:r w:rsidR="00A76EFB">
        <w:rPr>
          <w:noProof/>
          <w:szCs w:val="22"/>
          <w:lang w:val="hu"/>
        </w:rPr>
        <w:t>epesen s</w:t>
      </w:r>
      <w:r w:rsidRPr="00643EF0">
        <w:rPr>
          <w:noProof/>
          <w:szCs w:val="22"/>
          <w:lang w:val="hu"/>
        </w:rPr>
        <w:t>úlyos májkárosodásban szenvedőknél nem kell módosítani a dózist.</w:t>
      </w:r>
    </w:p>
    <w:p w14:paraId="2A47A418" w14:textId="77777777" w:rsidR="003964AC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</w:p>
    <w:p w14:paraId="196EF6FA" w14:textId="77777777" w:rsidR="00D40189" w:rsidRPr="00643EF0" w:rsidRDefault="003964AC" w:rsidP="003964AC">
      <w:pPr>
        <w:spacing w:line="240" w:lineRule="auto"/>
        <w:jc w:val="both"/>
        <w:rPr>
          <w:iCs/>
          <w:noProof/>
          <w:szCs w:val="22"/>
        </w:rPr>
      </w:pPr>
      <w:r w:rsidRPr="00643EF0">
        <w:rPr>
          <w:i/>
          <w:iCs/>
          <w:noProof/>
          <w:szCs w:val="22"/>
          <w:lang w:val="hu"/>
        </w:rPr>
        <w:t>Vesekárosodás</w:t>
      </w:r>
      <w:r w:rsidRPr="00643EF0">
        <w:rPr>
          <w:noProof/>
          <w:szCs w:val="22"/>
          <w:lang w:val="hu"/>
        </w:rPr>
        <w:t xml:space="preserve"> </w:t>
      </w:r>
    </w:p>
    <w:p w14:paraId="51058885" w14:textId="3D851AEB" w:rsidR="003964AC" w:rsidRPr="00643EF0" w:rsidRDefault="003964AC" w:rsidP="00770FF1">
      <w:pPr>
        <w:spacing w:line="240" w:lineRule="auto"/>
        <w:rPr>
          <w:iCs/>
          <w:noProof/>
          <w:szCs w:val="22"/>
        </w:rPr>
      </w:pPr>
      <w:r w:rsidRPr="00643EF0">
        <w:rPr>
          <w:noProof/>
          <w:szCs w:val="22"/>
          <w:lang w:val="hu"/>
        </w:rPr>
        <w:t xml:space="preserve">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farmakokinetikáját enyhe, középsúlyos és súlyos vesekárosodásos betegeknél vizsgálták. Egészséges önkéntesekkel összehasonlítva a súlyos vesekárosodásos résztvevők expozíciója (AUC) 47%-kal nőtt. Az </w:t>
      </w:r>
      <w:r w:rsidR="007040EF">
        <w:rPr>
          <w:noProof/>
          <w:szCs w:val="22"/>
          <w:lang w:val="hu"/>
        </w:rPr>
        <w:t>eszzopiklon</w:t>
      </w:r>
      <w:r w:rsidRPr="00643EF0">
        <w:rPr>
          <w:noProof/>
          <w:szCs w:val="22"/>
          <w:lang w:val="hu"/>
        </w:rPr>
        <w:t xml:space="preserve"> maximális ajánlott adagja súlyos vesekárosodásban szenvedő betegeknél 2 mg. Enyhe vagy köz</w:t>
      </w:r>
      <w:r w:rsidR="00A76EFB">
        <w:rPr>
          <w:noProof/>
          <w:szCs w:val="22"/>
          <w:lang w:val="hu"/>
        </w:rPr>
        <w:t>e</w:t>
      </w:r>
      <w:r w:rsidRPr="00643EF0">
        <w:rPr>
          <w:noProof/>
          <w:szCs w:val="22"/>
          <w:lang w:val="hu"/>
        </w:rPr>
        <w:t>p</w:t>
      </w:r>
      <w:r w:rsidR="00A76EFB">
        <w:rPr>
          <w:noProof/>
          <w:szCs w:val="22"/>
          <w:lang w:val="hu"/>
        </w:rPr>
        <w:t>ese</w:t>
      </w:r>
      <w:r w:rsidR="00073591">
        <w:rPr>
          <w:noProof/>
          <w:szCs w:val="22"/>
          <w:lang w:val="hu"/>
        </w:rPr>
        <w:t>n</w:t>
      </w:r>
      <w:r w:rsidR="00A76EFB">
        <w:rPr>
          <w:noProof/>
          <w:szCs w:val="22"/>
          <w:lang w:val="hu"/>
        </w:rPr>
        <w:t xml:space="preserve"> </w:t>
      </w:r>
      <w:r w:rsidRPr="00643EF0">
        <w:rPr>
          <w:noProof/>
          <w:szCs w:val="22"/>
          <w:lang w:val="hu"/>
        </w:rPr>
        <w:t>súlyos vesekárosodásban szenvedőknél nem szükséges módosítani a dózist.</w:t>
      </w:r>
    </w:p>
    <w:p w14:paraId="0053EA39" w14:textId="77777777" w:rsidR="001D29E6" w:rsidRPr="0082217D" w:rsidRDefault="001D29E6" w:rsidP="008D4234">
      <w:pPr>
        <w:spacing w:line="240" w:lineRule="auto"/>
        <w:rPr>
          <w:b/>
          <w:szCs w:val="22"/>
        </w:rPr>
      </w:pPr>
    </w:p>
    <w:p w14:paraId="2E4D35B2" w14:textId="77777777" w:rsidR="001D29E6" w:rsidRPr="00A2123E" w:rsidRDefault="001D29E6" w:rsidP="000244A6">
      <w:pPr>
        <w:pStyle w:val="Cmsor2"/>
        <w:rPr>
          <w:szCs w:val="22"/>
        </w:rPr>
      </w:pPr>
      <w:r w:rsidRPr="00A2123E">
        <w:rPr>
          <w:bCs/>
          <w:szCs w:val="22"/>
          <w:lang w:val="hu"/>
        </w:rPr>
        <w:t>5.3</w:t>
      </w:r>
      <w:r w:rsidRPr="00A2123E">
        <w:rPr>
          <w:bCs/>
          <w:szCs w:val="22"/>
          <w:lang w:val="hu"/>
        </w:rPr>
        <w:tab/>
        <w:t xml:space="preserve">A </w:t>
      </w:r>
      <w:proofErr w:type="spellStart"/>
      <w:r w:rsidRPr="00A2123E">
        <w:rPr>
          <w:bCs/>
          <w:szCs w:val="22"/>
          <w:lang w:val="hu"/>
        </w:rPr>
        <w:t>preklinikai</w:t>
      </w:r>
      <w:proofErr w:type="spellEnd"/>
      <w:r w:rsidRPr="00A2123E">
        <w:rPr>
          <w:bCs/>
          <w:szCs w:val="22"/>
          <w:lang w:val="hu"/>
        </w:rPr>
        <w:t xml:space="preserve"> biztonságossági vizsgálatok eredményei</w:t>
      </w:r>
    </w:p>
    <w:p w14:paraId="6311AEDA" w14:textId="4CE68E71" w:rsidR="001D29E6" w:rsidRPr="007B3CA8" w:rsidRDefault="001D29E6" w:rsidP="008D4234">
      <w:pPr>
        <w:spacing w:line="240" w:lineRule="auto"/>
        <w:rPr>
          <w:szCs w:val="22"/>
        </w:rPr>
      </w:pPr>
    </w:p>
    <w:p w14:paraId="496AA3FE" w14:textId="77777777" w:rsidR="00367129" w:rsidRPr="00643EF0" w:rsidRDefault="00367129" w:rsidP="00770FF1">
      <w:pPr>
        <w:tabs>
          <w:tab w:val="clear" w:pos="567"/>
        </w:tabs>
        <w:spacing w:line="240" w:lineRule="auto"/>
        <w:rPr>
          <w:szCs w:val="22"/>
        </w:rPr>
      </w:pPr>
      <w:r w:rsidRPr="00643EF0">
        <w:rPr>
          <w:szCs w:val="22"/>
          <w:lang w:val="hu"/>
        </w:rPr>
        <w:t>A nem klinikai vizsgálatokban csak olyan expozíciók esetén figyeltek meg hatásokat, amelyek annyival meghaladják a humán expozíciót, hogy a klinikai alkalmazásra vonatkozó relevanciájuk csekélynek tekinthető.</w:t>
      </w:r>
    </w:p>
    <w:p w14:paraId="4C89DED5" w14:textId="77777777" w:rsidR="00046093" w:rsidRPr="00643EF0" w:rsidRDefault="00046093" w:rsidP="00F72C28">
      <w:pPr>
        <w:rPr>
          <w:szCs w:val="22"/>
          <w:u w:val="single"/>
        </w:rPr>
      </w:pPr>
    </w:p>
    <w:p w14:paraId="30462F61" w14:textId="6F3E8539" w:rsidR="00F72C28" w:rsidRPr="00643EF0" w:rsidRDefault="00F72C28" w:rsidP="00F72C28">
      <w:pPr>
        <w:rPr>
          <w:szCs w:val="22"/>
          <w:u w:val="single"/>
        </w:rPr>
      </w:pPr>
      <w:proofErr w:type="spellStart"/>
      <w:r w:rsidRPr="00643EF0">
        <w:rPr>
          <w:szCs w:val="22"/>
          <w:u w:val="single"/>
          <w:lang w:val="hu"/>
        </w:rPr>
        <w:t>Genotoxicitás</w:t>
      </w:r>
      <w:proofErr w:type="spellEnd"/>
      <w:r w:rsidRPr="00643EF0">
        <w:rPr>
          <w:szCs w:val="22"/>
          <w:u w:val="single"/>
          <w:lang w:val="hu"/>
        </w:rPr>
        <w:t xml:space="preserve"> és </w:t>
      </w:r>
      <w:proofErr w:type="spellStart"/>
      <w:r w:rsidRPr="00643EF0">
        <w:rPr>
          <w:szCs w:val="22"/>
          <w:u w:val="single"/>
          <w:lang w:val="hu"/>
        </w:rPr>
        <w:t>karcinogenitás</w:t>
      </w:r>
      <w:proofErr w:type="spellEnd"/>
    </w:p>
    <w:p w14:paraId="0F947B53" w14:textId="16DB53BF" w:rsidR="00F72C28" w:rsidRPr="00643EF0" w:rsidRDefault="00F72C28" w:rsidP="00F72C28">
      <w:pPr>
        <w:rPr>
          <w:b/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és </w:t>
      </w:r>
      <w:proofErr w:type="spellStart"/>
      <w:r w:rsidRPr="00643EF0">
        <w:rPr>
          <w:szCs w:val="22"/>
          <w:lang w:val="hu"/>
        </w:rPr>
        <w:t>farmakológiailag</w:t>
      </w:r>
      <w:proofErr w:type="spellEnd"/>
      <w:r w:rsidRPr="00643EF0">
        <w:rPr>
          <w:szCs w:val="22"/>
          <w:lang w:val="hu"/>
        </w:rPr>
        <w:t xml:space="preserve"> aktív </w:t>
      </w:r>
      <w:proofErr w:type="spellStart"/>
      <w:r w:rsidRPr="00643EF0">
        <w:rPr>
          <w:szCs w:val="22"/>
          <w:lang w:val="hu"/>
        </w:rPr>
        <w:t>metabolitja</w:t>
      </w:r>
      <w:proofErr w:type="spellEnd"/>
      <w:r w:rsidRPr="00643EF0">
        <w:rPr>
          <w:szCs w:val="22"/>
          <w:lang w:val="hu"/>
        </w:rPr>
        <w:t xml:space="preserve">, az (S)-DMZ nem jelent </w:t>
      </w:r>
      <w:proofErr w:type="spellStart"/>
      <w:r w:rsidRPr="00643EF0">
        <w:rPr>
          <w:szCs w:val="22"/>
          <w:lang w:val="hu"/>
        </w:rPr>
        <w:t>mutagenitási</w:t>
      </w:r>
      <w:proofErr w:type="spellEnd"/>
      <w:r w:rsidRPr="00643EF0">
        <w:rPr>
          <w:szCs w:val="22"/>
          <w:lang w:val="hu"/>
        </w:rPr>
        <w:t xml:space="preserve"> vagy </w:t>
      </w:r>
      <w:proofErr w:type="spellStart"/>
      <w:r w:rsidRPr="00643EF0">
        <w:rPr>
          <w:szCs w:val="22"/>
          <w:lang w:val="hu"/>
        </w:rPr>
        <w:t>karcinogenitási</w:t>
      </w:r>
      <w:proofErr w:type="spellEnd"/>
      <w:r w:rsidRPr="00643EF0">
        <w:rPr>
          <w:szCs w:val="22"/>
          <w:lang w:val="hu"/>
        </w:rPr>
        <w:t xml:space="preserve"> kockázatot állatkísérletekben.</w:t>
      </w:r>
    </w:p>
    <w:p w14:paraId="403B4724" w14:textId="77777777" w:rsidR="00BB443C" w:rsidRPr="00643EF0" w:rsidRDefault="00BB443C" w:rsidP="00F72C28">
      <w:pPr>
        <w:rPr>
          <w:b/>
          <w:szCs w:val="22"/>
        </w:rPr>
      </w:pPr>
    </w:p>
    <w:p w14:paraId="50BEFAEC" w14:textId="77777777" w:rsidR="00F72C28" w:rsidRPr="00643EF0" w:rsidRDefault="00F72C28" w:rsidP="00F72C28">
      <w:pPr>
        <w:rPr>
          <w:szCs w:val="22"/>
          <w:u w:val="single"/>
        </w:rPr>
      </w:pPr>
      <w:r w:rsidRPr="00643EF0">
        <w:rPr>
          <w:szCs w:val="22"/>
          <w:u w:val="single"/>
          <w:lang w:val="hu"/>
        </w:rPr>
        <w:t>Reprodukcióra és fejlődésre kifejtett toxicitás</w:t>
      </w:r>
    </w:p>
    <w:p w14:paraId="49AD182F" w14:textId="56154FCB" w:rsidR="00F72C28" w:rsidRPr="00643EF0" w:rsidRDefault="00F72C28" w:rsidP="00F72C28">
      <w:pPr>
        <w:rPr>
          <w:szCs w:val="22"/>
        </w:rPr>
      </w:pPr>
      <w:r w:rsidRPr="00643EF0">
        <w:rPr>
          <w:szCs w:val="22"/>
          <w:lang w:val="hu"/>
        </w:rPr>
        <w:t xml:space="preserve">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</w:t>
      </w:r>
      <w:r w:rsidR="005F2205" w:rsidRPr="00643EF0">
        <w:rPr>
          <w:szCs w:val="22"/>
          <w:lang w:val="hu"/>
        </w:rPr>
        <w:t xml:space="preserve">nem volt </w:t>
      </w:r>
      <w:proofErr w:type="spellStart"/>
      <w:r w:rsidR="005F2205" w:rsidRPr="00643EF0">
        <w:rPr>
          <w:szCs w:val="22"/>
          <w:lang w:val="hu"/>
        </w:rPr>
        <w:t>teratogén</w:t>
      </w:r>
      <w:proofErr w:type="spellEnd"/>
      <w:r w:rsidR="005F2205" w:rsidRPr="00643EF0">
        <w:rPr>
          <w:szCs w:val="22"/>
          <w:lang w:val="hu"/>
        </w:rPr>
        <w:t xml:space="preserve"> egéren, patkányon, nyulakon és kutyán elvégzett ismételt dózisú toxicitási vizsgálatokban, </w:t>
      </w:r>
      <w:r w:rsidRPr="00643EF0">
        <w:rPr>
          <w:szCs w:val="22"/>
          <w:lang w:val="hu"/>
        </w:rPr>
        <w:t xml:space="preserve">valamint reproduktív és fejlődésvizsgálatokban. Az </w:t>
      </w:r>
      <w:proofErr w:type="spellStart"/>
      <w:r w:rsidR="007040EF">
        <w:rPr>
          <w:szCs w:val="22"/>
          <w:lang w:val="hu"/>
        </w:rPr>
        <w:t>eszzopiklon</w:t>
      </w:r>
      <w:proofErr w:type="spellEnd"/>
      <w:r w:rsidRPr="00643EF0">
        <w:rPr>
          <w:szCs w:val="22"/>
          <w:lang w:val="hu"/>
        </w:rPr>
        <w:t xml:space="preserve"> és </w:t>
      </w:r>
      <w:proofErr w:type="spellStart"/>
      <w:r w:rsidRPr="00643EF0">
        <w:rPr>
          <w:szCs w:val="22"/>
          <w:lang w:val="hu"/>
        </w:rPr>
        <w:t>farmakológiailag</w:t>
      </w:r>
      <w:proofErr w:type="spellEnd"/>
      <w:r w:rsidRPr="00643EF0">
        <w:rPr>
          <w:szCs w:val="22"/>
          <w:lang w:val="hu"/>
        </w:rPr>
        <w:t xml:space="preserve"> aktív </w:t>
      </w:r>
      <w:proofErr w:type="spellStart"/>
      <w:r w:rsidRPr="00643EF0">
        <w:rPr>
          <w:szCs w:val="22"/>
          <w:lang w:val="hu"/>
        </w:rPr>
        <w:t>metabolitja</w:t>
      </w:r>
      <w:proofErr w:type="spellEnd"/>
      <w:r w:rsidRPr="00643EF0">
        <w:rPr>
          <w:szCs w:val="22"/>
          <w:lang w:val="hu"/>
        </w:rPr>
        <w:t>, az (S)-N-</w:t>
      </w:r>
      <w:proofErr w:type="spellStart"/>
      <w:r w:rsidRPr="00643EF0">
        <w:rPr>
          <w:szCs w:val="22"/>
          <w:lang w:val="hu"/>
        </w:rPr>
        <w:t>dezmetil</w:t>
      </w:r>
      <w:proofErr w:type="spellEnd"/>
      <w:r w:rsidRPr="00643EF0">
        <w:rPr>
          <w:szCs w:val="22"/>
          <w:lang w:val="hu"/>
        </w:rPr>
        <w:t>-</w:t>
      </w:r>
      <w:proofErr w:type="spellStart"/>
      <w:r w:rsidRPr="00643EF0">
        <w:rPr>
          <w:szCs w:val="22"/>
          <w:lang w:val="hu"/>
        </w:rPr>
        <w:t>zopiklon</w:t>
      </w:r>
      <w:proofErr w:type="spellEnd"/>
      <w:r w:rsidRPr="00643EF0">
        <w:rPr>
          <w:szCs w:val="22"/>
          <w:lang w:val="hu"/>
        </w:rPr>
        <w:t xml:space="preserve"> a hím reproduktív szervek (here, mellékhere) degenerációját okozta, mindkét nemben csökkentette a termékenységi indexet, megzavarta az ivarzási ciklust (patkánynál) és felgyorsította a reprodukciós öregedés kialakulását (patkánynál) a maximális klinikai dózist meghaladó adagokban (hímeknél 16-szorosan, nőstényeknél 13-szorosan a testfelület alapján). Minden észlelt eredmény visszafordíthatónak bizonyult a felépülés után.</w:t>
      </w:r>
    </w:p>
    <w:p w14:paraId="43F3749E" w14:textId="1085A4DC" w:rsidR="00F72C28" w:rsidRPr="0082217D" w:rsidRDefault="00F72C28" w:rsidP="00F72C28">
      <w:pPr>
        <w:spacing w:line="240" w:lineRule="auto"/>
        <w:rPr>
          <w:szCs w:val="22"/>
        </w:rPr>
      </w:pPr>
      <w:r w:rsidRPr="00643EF0">
        <w:rPr>
          <w:szCs w:val="22"/>
          <w:lang w:val="hu"/>
        </w:rPr>
        <w:t>Patkánynál és nyúlnál a magzat méhen belüli fejlődésének késését, valamint patkánynál a születés utáni túlélés csökkenését figyelték meg az elválasztás előtti időszak során, amely anyai toxicitással járt együtt.</w:t>
      </w:r>
    </w:p>
    <w:p w14:paraId="75FE266E" w14:textId="77777777" w:rsidR="00F72C28" w:rsidRPr="00A2123E" w:rsidRDefault="00F72C28" w:rsidP="008D4234">
      <w:pPr>
        <w:spacing w:line="240" w:lineRule="auto"/>
        <w:rPr>
          <w:szCs w:val="22"/>
        </w:rPr>
      </w:pPr>
    </w:p>
    <w:p w14:paraId="1C72416B" w14:textId="77777777" w:rsidR="003964AC" w:rsidRPr="007B3CA8" w:rsidRDefault="003964AC" w:rsidP="003964AC">
      <w:pPr>
        <w:spacing w:line="240" w:lineRule="auto"/>
        <w:rPr>
          <w:szCs w:val="22"/>
        </w:rPr>
      </w:pPr>
    </w:p>
    <w:p w14:paraId="6644748B" w14:textId="77777777" w:rsidR="001D29E6" w:rsidRPr="00D24220" w:rsidRDefault="001D29E6" w:rsidP="000244A6">
      <w:pPr>
        <w:pStyle w:val="Cmsor1"/>
        <w:rPr>
          <w:szCs w:val="22"/>
        </w:rPr>
      </w:pPr>
      <w:r w:rsidRPr="00D24220">
        <w:rPr>
          <w:bCs/>
          <w:szCs w:val="22"/>
          <w:lang w:val="hu"/>
        </w:rPr>
        <w:t>6.</w:t>
      </w:r>
      <w:r w:rsidRPr="00D24220">
        <w:rPr>
          <w:bCs/>
          <w:szCs w:val="22"/>
          <w:lang w:val="hu"/>
        </w:rPr>
        <w:tab/>
        <w:t>GYÓGYSZERÉSZETI JELLEMZŐK</w:t>
      </w:r>
    </w:p>
    <w:p w14:paraId="6B37EE0E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5BB48F10" w14:textId="77777777" w:rsidR="001D29E6" w:rsidRPr="00635B03" w:rsidRDefault="001D29E6" w:rsidP="000244A6">
      <w:pPr>
        <w:pStyle w:val="Cmsor2"/>
        <w:rPr>
          <w:szCs w:val="22"/>
        </w:rPr>
      </w:pPr>
      <w:r w:rsidRPr="00635B03">
        <w:rPr>
          <w:bCs/>
          <w:szCs w:val="22"/>
          <w:lang w:val="hu"/>
        </w:rPr>
        <w:t>6.1</w:t>
      </w:r>
      <w:r w:rsidRPr="00635B03">
        <w:rPr>
          <w:bCs/>
          <w:szCs w:val="22"/>
          <w:lang w:val="hu"/>
        </w:rPr>
        <w:tab/>
        <w:t>Segédanyagok felsorolása</w:t>
      </w:r>
    </w:p>
    <w:p w14:paraId="38E13BF2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33C5724E" w14:textId="77777777" w:rsidR="00772128" w:rsidRPr="00643EF0" w:rsidRDefault="00772128" w:rsidP="00772128">
      <w:pPr>
        <w:spacing w:line="240" w:lineRule="auto"/>
        <w:rPr>
          <w:i/>
          <w:noProof/>
          <w:szCs w:val="22"/>
        </w:rPr>
      </w:pPr>
      <w:r w:rsidRPr="00643EF0">
        <w:rPr>
          <w:i/>
          <w:iCs/>
          <w:noProof/>
          <w:szCs w:val="22"/>
          <w:lang w:val="hu"/>
        </w:rPr>
        <w:t>Tablettamag</w:t>
      </w:r>
    </w:p>
    <w:p w14:paraId="26CD6EAA" w14:textId="1F9AD02E" w:rsidR="002F0392" w:rsidRPr="00643EF0" w:rsidRDefault="000A1E8F" w:rsidP="00772128">
      <w:pPr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>mikrokristályos cellulóz</w:t>
      </w:r>
    </w:p>
    <w:p w14:paraId="321B45C7" w14:textId="2604E96E" w:rsidR="002F0392" w:rsidRPr="00643EF0" w:rsidRDefault="000A1E8F" w:rsidP="002F0392">
      <w:pPr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>kalcium-hidrogén-foszfát</w:t>
      </w:r>
    </w:p>
    <w:p w14:paraId="1E11DB06" w14:textId="1DF8972D" w:rsidR="002F0392" w:rsidRPr="00643EF0" w:rsidRDefault="000A1E8F" w:rsidP="002F0392">
      <w:pPr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>kroszkarmellóz-nátrium</w:t>
      </w:r>
    </w:p>
    <w:p w14:paraId="5119987F" w14:textId="4A21D864" w:rsidR="002F0392" w:rsidRPr="00643EF0" w:rsidRDefault="000E17D4" w:rsidP="002F0392">
      <w:pPr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 xml:space="preserve">vízmentes </w:t>
      </w:r>
      <w:r w:rsidR="000A1E8F" w:rsidRPr="00643EF0">
        <w:rPr>
          <w:noProof/>
          <w:szCs w:val="22"/>
          <w:lang w:val="hu"/>
        </w:rPr>
        <w:t>kolloid szilícium-dioxid</w:t>
      </w:r>
    </w:p>
    <w:p w14:paraId="04818B63" w14:textId="062B1159" w:rsidR="002F0392" w:rsidRPr="00643EF0" w:rsidRDefault="000A1E8F" w:rsidP="002F0392">
      <w:pPr>
        <w:spacing w:line="240" w:lineRule="auto"/>
        <w:rPr>
          <w:noProof/>
          <w:szCs w:val="22"/>
        </w:rPr>
      </w:pPr>
      <w:r w:rsidRPr="00643EF0">
        <w:rPr>
          <w:noProof/>
          <w:szCs w:val="22"/>
          <w:lang w:val="hu"/>
        </w:rPr>
        <w:t>magnézium-sztearát</w:t>
      </w:r>
    </w:p>
    <w:p w14:paraId="5876D662" w14:textId="77777777" w:rsidR="00772128" w:rsidRPr="00643EF0" w:rsidRDefault="00772128" w:rsidP="008D4234">
      <w:pPr>
        <w:spacing w:line="240" w:lineRule="auto"/>
        <w:rPr>
          <w:szCs w:val="22"/>
        </w:rPr>
      </w:pPr>
    </w:p>
    <w:p w14:paraId="620B433E" w14:textId="77777777" w:rsidR="00772128" w:rsidRPr="00643EF0" w:rsidRDefault="00772128" w:rsidP="0077212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</w:rPr>
      </w:pPr>
      <w:r w:rsidRPr="00643EF0">
        <w:rPr>
          <w:i/>
          <w:iCs/>
          <w:szCs w:val="22"/>
          <w:lang w:val="hu"/>
        </w:rPr>
        <w:t>Filmbevonat</w:t>
      </w:r>
    </w:p>
    <w:p w14:paraId="651F92F7" w14:textId="2334D64C" w:rsidR="00772128" w:rsidRPr="00643EF0" w:rsidRDefault="000A1E8F" w:rsidP="0077212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643EF0">
        <w:rPr>
          <w:szCs w:val="22"/>
          <w:lang w:val="hu"/>
        </w:rPr>
        <w:t>hipromellóz</w:t>
      </w:r>
      <w:proofErr w:type="spellEnd"/>
    </w:p>
    <w:p w14:paraId="347C4545" w14:textId="7C219798" w:rsidR="002F0392" w:rsidRPr="00643EF0" w:rsidRDefault="002F0392" w:rsidP="0077212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>talkum</w:t>
      </w:r>
    </w:p>
    <w:p w14:paraId="4CF9166F" w14:textId="77777777" w:rsidR="002F0392" w:rsidRPr="00643EF0" w:rsidRDefault="002F0392" w:rsidP="0077212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3EF0">
        <w:rPr>
          <w:szCs w:val="22"/>
          <w:lang w:val="hu"/>
        </w:rPr>
        <w:t>titán-dioxid (E171)</w:t>
      </w:r>
    </w:p>
    <w:p w14:paraId="7A3F5499" w14:textId="056E9523" w:rsidR="002F0392" w:rsidRPr="00643EF0" w:rsidRDefault="00772128" w:rsidP="0077212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643EF0">
        <w:rPr>
          <w:szCs w:val="22"/>
          <w:lang w:val="hu"/>
        </w:rPr>
        <w:t>makrogol</w:t>
      </w:r>
      <w:proofErr w:type="spellEnd"/>
      <w:r w:rsidRPr="00643EF0">
        <w:rPr>
          <w:szCs w:val="22"/>
          <w:lang w:val="hu"/>
        </w:rPr>
        <w:t xml:space="preserve"> 3350</w:t>
      </w:r>
    </w:p>
    <w:p w14:paraId="7D1AC8E9" w14:textId="6E656887" w:rsidR="005062DB" w:rsidRPr="00643EF0" w:rsidRDefault="000A1E8F" w:rsidP="005062D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</w:rPr>
      </w:pPr>
      <w:r w:rsidRPr="00770FF1">
        <w:rPr>
          <w:szCs w:val="22"/>
          <w:lang w:val="hu"/>
        </w:rPr>
        <w:t>indigókármin alumínium lakk (E132)</w:t>
      </w:r>
      <w:r w:rsidRPr="00770FF1">
        <w:rPr>
          <w:i/>
          <w:iCs/>
          <w:szCs w:val="22"/>
          <w:lang w:val="hu"/>
        </w:rPr>
        <w:t xml:space="preserve"> </w:t>
      </w:r>
      <w:r w:rsidRPr="00770FF1">
        <w:rPr>
          <w:szCs w:val="22"/>
          <w:lang w:val="hu"/>
        </w:rPr>
        <w:t>(1 mg és 3 mg)</w:t>
      </w:r>
    </w:p>
    <w:p w14:paraId="15C1693F" w14:textId="77777777" w:rsidR="00EF5E3C" w:rsidRPr="00643EF0" w:rsidRDefault="00EF5E3C" w:rsidP="008D4234">
      <w:pPr>
        <w:spacing w:line="240" w:lineRule="auto"/>
        <w:rPr>
          <w:szCs w:val="22"/>
        </w:rPr>
      </w:pPr>
    </w:p>
    <w:p w14:paraId="45FB2072" w14:textId="77777777" w:rsidR="001D29E6" w:rsidRPr="0082217D" w:rsidRDefault="001D29E6" w:rsidP="000244A6">
      <w:pPr>
        <w:pStyle w:val="Cmsor2"/>
        <w:rPr>
          <w:szCs w:val="22"/>
        </w:rPr>
      </w:pPr>
      <w:r w:rsidRPr="0082217D">
        <w:rPr>
          <w:bCs/>
          <w:szCs w:val="22"/>
          <w:lang w:val="hu"/>
        </w:rPr>
        <w:t>6.2</w:t>
      </w:r>
      <w:r w:rsidRPr="0082217D">
        <w:rPr>
          <w:bCs/>
          <w:szCs w:val="22"/>
          <w:lang w:val="hu"/>
        </w:rPr>
        <w:tab/>
        <w:t>Inkompatibilitások</w:t>
      </w:r>
    </w:p>
    <w:p w14:paraId="4E189206" w14:textId="77777777" w:rsidR="001D29E6" w:rsidRPr="00A2123E" w:rsidRDefault="001D29E6" w:rsidP="008D4234">
      <w:pPr>
        <w:spacing w:line="240" w:lineRule="auto"/>
        <w:rPr>
          <w:szCs w:val="22"/>
        </w:rPr>
      </w:pPr>
    </w:p>
    <w:p w14:paraId="5F8C51DD" w14:textId="512E17BB" w:rsidR="001D29E6" w:rsidRPr="007B3CA8" w:rsidRDefault="001D29E6" w:rsidP="008D4234">
      <w:pPr>
        <w:spacing w:line="240" w:lineRule="auto"/>
        <w:rPr>
          <w:szCs w:val="22"/>
        </w:rPr>
      </w:pPr>
      <w:r w:rsidRPr="007B3CA8">
        <w:rPr>
          <w:szCs w:val="22"/>
          <w:lang w:val="hu"/>
        </w:rPr>
        <w:t>Nem értelmezhető.</w:t>
      </w:r>
    </w:p>
    <w:p w14:paraId="37EF5B0C" w14:textId="77777777" w:rsidR="00EF5E3C" w:rsidRPr="00D24220" w:rsidRDefault="00EF5E3C" w:rsidP="008D4234">
      <w:pPr>
        <w:spacing w:line="240" w:lineRule="auto"/>
        <w:rPr>
          <w:szCs w:val="22"/>
        </w:rPr>
      </w:pPr>
    </w:p>
    <w:p w14:paraId="252D6760" w14:textId="77777777" w:rsidR="001D29E6" w:rsidRPr="00635B03" w:rsidRDefault="001D29E6" w:rsidP="000244A6">
      <w:pPr>
        <w:pStyle w:val="Cmsor2"/>
        <w:rPr>
          <w:szCs w:val="22"/>
        </w:rPr>
      </w:pPr>
      <w:r w:rsidRPr="00635B03">
        <w:rPr>
          <w:bCs/>
          <w:szCs w:val="22"/>
          <w:lang w:val="hu"/>
        </w:rPr>
        <w:t>6.3</w:t>
      </w:r>
      <w:r w:rsidRPr="00635B03">
        <w:rPr>
          <w:bCs/>
          <w:szCs w:val="22"/>
          <w:lang w:val="hu"/>
        </w:rPr>
        <w:tab/>
        <w:t>Felhasználhatósági időtartam</w:t>
      </w:r>
    </w:p>
    <w:p w14:paraId="59E38A6A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2FD92687" w14:textId="39EDA06A" w:rsidR="009755DA" w:rsidRPr="00635B03" w:rsidRDefault="00DC74BE" w:rsidP="008D4234">
      <w:pPr>
        <w:spacing w:line="240" w:lineRule="auto"/>
        <w:rPr>
          <w:szCs w:val="22"/>
        </w:rPr>
      </w:pPr>
      <w:bookmarkStart w:id="0" w:name="_Hlk19698082"/>
      <w:r w:rsidRPr="00635B03">
        <w:rPr>
          <w:szCs w:val="22"/>
          <w:lang w:val="hu"/>
        </w:rPr>
        <w:t>2 év</w:t>
      </w:r>
    </w:p>
    <w:bookmarkEnd w:id="0"/>
    <w:p w14:paraId="70A6ABDD" w14:textId="77777777" w:rsidR="005F0956" w:rsidRPr="00635B03" w:rsidRDefault="005F0956" w:rsidP="008D4234">
      <w:pPr>
        <w:spacing w:line="240" w:lineRule="auto"/>
        <w:rPr>
          <w:szCs w:val="22"/>
        </w:rPr>
      </w:pPr>
    </w:p>
    <w:p w14:paraId="7661EAD2" w14:textId="60941390" w:rsidR="001D29E6" w:rsidRDefault="001D29E6" w:rsidP="000244A6">
      <w:pPr>
        <w:pStyle w:val="Cmsor2"/>
        <w:rPr>
          <w:bCs/>
          <w:szCs w:val="22"/>
          <w:lang w:val="hu"/>
        </w:rPr>
      </w:pPr>
      <w:r w:rsidRPr="00635B03">
        <w:rPr>
          <w:bCs/>
          <w:szCs w:val="22"/>
          <w:lang w:val="hu"/>
        </w:rPr>
        <w:t>6.4</w:t>
      </w:r>
      <w:r w:rsidRPr="00635B03">
        <w:rPr>
          <w:bCs/>
          <w:szCs w:val="22"/>
          <w:lang w:val="hu"/>
        </w:rPr>
        <w:tab/>
        <w:t>Különleges tárolási előírások</w:t>
      </w:r>
    </w:p>
    <w:p w14:paraId="2BBF5C59" w14:textId="77777777" w:rsidR="003F42AC" w:rsidRPr="00770FF1" w:rsidRDefault="003F42AC" w:rsidP="00770FF1">
      <w:pPr>
        <w:rPr>
          <w:lang w:val="hu"/>
        </w:rPr>
      </w:pPr>
    </w:p>
    <w:p w14:paraId="257A6D02" w14:textId="65D6DF4E" w:rsidR="001D29E6" w:rsidRPr="00635B03" w:rsidRDefault="003820DE" w:rsidP="003820DE">
      <w:pPr>
        <w:spacing w:line="240" w:lineRule="auto"/>
        <w:rPr>
          <w:i/>
          <w:iCs/>
          <w:szCs w:val="22"/>
        </w:rPr>
      </w:pPr>
      <w:r w:rsidRPr="00635B03">
        <w:rPr>
          <w:i/>
          <w:iCs/>
          <w:szCs w:val="22"/>
          <w:lang w:val="hu"/>
        </w:rPr>
        <w:t>A PVC/PCTFE-</w:t>
      </w:r>
      <w:proofErr w:type="spellStart"/>
      <w:r w:rsidR="000E17D4">
        <w:rPr>
          <w:i/>
          <w:iCs/>
          <w:szCs w:val="22"/>
          <w:lang w:val="hu"/>
        </w:rPr>
        <w:t>Al</w:t>
      </w:r>
      <w:proofErr w:type="spellEnd"/>
      <w:r w:rsidR="000E17D4" w:rsidRPr="00635B03">
        <w:rPr>
          <w:i/>
          <w:iCs/>
          <w:szCs w:val="22"/>
          <w:lang w:val="hu"/>
        </w:rPr>
        <w:t xml:space="preserve"> </w:t>
      </w:r>
      <w:r w:rsidRPr="00635B03">
        <w:rPr>
          <w:i/>
          <w:iCs/>
          <w:szCs w:val="22"/>
          <w:lang w:val="hu"/>
        </w:rPr>
        <w:t>és OPA/Alu/PVC-</w:t>
      </w:r>
      <w:proofErr w:type="spellStart"/>
      <w:r w:rsidR="000E17D4">
        <w:rPr>
          <w:i/>
          <w:iCs/>
          <w:szCs w:val="22"/>
          <w:lang w:val="hu"/>
        </w:rPr>
        <w:t>Al</w:t>
      </w:r>
      <w:proofErr w:type="spellEnd"/>
      <w:r w:rsidR="000E17D4" w:rsidRPr="00635B03">
        <w:rPr>
          <w:i/>
          <w:iCs/>
          <w:szCs w:val="22"/>
          <w:lang w:val="hu"/>
        </w:rPr>
        <w:t xml:space="preserve"> </w:t>
      </w:r>
      <w:r w:rsidRPr="00635B03">
        <w:rPr>
          <w:i/>
          <w:iCs/>
          <w:szCs w:val="22"/>
          <w:lang w:val="hu"/>
        </w:rPr>
        <w:t>buborékcsomagolásba csomagolt 1 mg-os készítmény, valamint a PVC/PCTFE-</w:t>
      </w:r>
      <w:proofErr w:type="spellStart"/>
      <w:r w:rsidR="000E17D4">
        <w:rPr>
          <w:i/>
          <w:iCs/>
          <w:szCs w:val="22"/>
          <w:lang w:val="hu"/>
        </w:rPr>
        <w:t>Al</w:t>
      </w:r>
      <w:proofErr w:type="spellEnd"/>
      <w:r w:rsidRPr="00635B03">
        <w:rPr>
          <w:i/>
          <w:iCs/>
          <w:szCs w:val="22"/>
          <w:lang w:val="hu"/>
        </w:rPr>
        <w:t>, OPA/Alu/PVC-</w:t>
      </w:r>
      <w:proofErr w:type="spellStart"/>
      <w:r w:rsidR="000E17D4">
        <w:rPr>
          <w:i/>
          <w:iCs/>
          <w:szCs w:val="22"/>
          <w:lang w:val="hu"/>
        </w:rPr>
        <w:t>Al</w:t>
      </w:r>
      <w:proofErr w:type="spellEnd"/>
      <w:r w:rsidR="000E17D4" w:rsidRPr="00635B03">
        <w:rPr>
          <w:i/>
          <w:iCs/>
          <w:szCs w:val="22"/>
          <w:lang w:val="hu"/>
        </w:rPr>
        <w:t xml:space="preserve"> </w:t>
      </w:r>
      <w:r w:rsidRPr="00635B03">
        <w:rPr>
          <w:i/>
          <w:iCs/>
          <w:szCs w:val="22"/>
          <w:lang w:val="hu"/>
        </w:rPr>
        <w:t>és PVC/</w:t>
      </w:r>
      <w:proofErr w:type="spellStart"/>
      <w:r w:rsidRPr="00635B03">
        <w:rPr>
          <w:i/>
          <w:iCs/>
          <w:szCs w:val="22"/>
          <w:lang w:val="hu"/>
        </w:rPr>
        <w:t>PVdC</w:t>
      </w:r>
      <w:proofErr w:type="spellEnd"/>
      <w:r w:rsidRPr="00635B03">
        <w:rPr>
          <w:i/>
          <w:iCs/>
          <w:szCs w:val="22"/>
          <w:lang w:val="hu"/>
        </w:rPr>
        <w:t>/PVC-</w:t>
      </w:r>
      <w:proofErr w:type="spellStart"/>
      <w:r w:rsidR="000E17D4">
        <w:rPr>
          <w:i/>
          <w:iCs/>
          <w:szCs w:val="22"/>
          <w:lang w:val="hu"/>
        </w:rPr>
        <w:t>Al</w:t>
      </w:r>
      <w:proofErr w:type="spellEnd"/>
      <w:r w:rsidR="000E17D4" w:rsidRPr="00635B03">
        <w:rPr>
          <w:i/>
          <w:iCs/>
          <w:szCs w:val="22"/>
          <w:lang w:val="hu"/>
        </w:rPr>
        <w:t xml:space="preserve"> </w:t>
      </w:r>
      <w:r w:rsidRPr="00635B03">
        <w:rPr>
          <w:i/>
          <w:iCs/>
          <w:szCs w:val="22"/>
          <w:lang w:val="hu"/>
        </w:rPr>
        <w:t>buborékcsomagolásba csomagolt 2 mg-os és 3 mg-os készítmény esetén</w:t>
      </w:r>
      <w:r w:rsidR="003F42AC">
        <w:rPr>
          <w:i/>
          <w:iCs/>
          <w:szCs w:val="22"/>
          <w:lang w:val="hu"/>
        </w:rPr>
        <w:t>:</w:t>
      </w:r>
    </w:p>
    <w:p w14:paraId="7FF02B5A" w14:textId="59F56682" w:rsidR="00772128" w:rsidRPr="00635B03" w:rsidRDefault="00493AB5" w:rsidP="008D4234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>Ez a gyógyszer nem igényel különleges tárolást.</w:t>
      </w:r>
    </w:p>
    <w:p w14:paraId="5EE76AD9" w14:textId="77777777" w:rsidR="005115CE" w:rsidRPr="00635B03" w:rsidRDefault="005115CE" w:rsidP="008D4234">
      <w:pPr>
        <w:spacing w:line="240" w:lineRule="auto"/>
        <w:rPr>
          <w:i/>
          <w:iCs/>
          <w:szCs w:val="22"/>
        </w:rPr>
      </w:pPr>
    </w:p>
    <w:p w14:paraId="6FEA6275" w14:textId="7BCC1AAF" w:rsidR="003820DE" w:rsidRPr="00770FF1" w:rsidRDefault="003820DE" w:rsidP="008D4234">
      <w:pPr>
        <w:spacing w:line="240" w:lineRule="auto"/>
        <w:rPr>
          <w:szCs w:val="22"/>
        </w:rPr>
      </w:pPr>
      <w:r w:rsidRPr="00770FF1">
        <w:rPr>
          <w:i/>
          <w:iCs/>
          <w:szCs w:val="22"/>
          <w:lang w:val="hu"/>
        </w:rPr>
        <w:t>A PVC/</w:t>
      </w:r>
      <w:proofErr w:type="spellStart"/>
      <w:r w:rsidRPr="00770FF1">
        <w:rPr>
          <w:i/>
          <w:iCs/>
          <w:szCs w:val="22"/>
          <w:lang w:val="hu"/>
        </w:rPr>
        <w:t>PVdC</w:t>
      </w:r>
      <w:proofErr w:type="spellEnd"/>
      <w:r w:rsidRPr="00770FF1">
        <w:rPr>
          <w:i/>
          <w:iCs/>
          <w:szCs w:val="22"/>
          <w:lang w:val="hu"/>
        </w:rPr>
        <w:t>/PVC-</w:t>
      </w:r>
      <w:proofErr w:type="spellStart"/>
      <w:r w:rsidR="000E17D4">
        <w:rPr>
          <w:i/>
          <w:iCs/>
          <w:szCs w:val="22"/>
          <w:lang w:val="hu"/>
        </w:rPr>
        <w:t>Al</w:t>
      </w:r>
      <w:proofErr w:type="spellEnd"/>
      <w:r w:rsidR="000E17D4" w:rsidRPr="00770FF1">
        <w:rPr>
          <w:i/>
          <w:iCs/>
          <w:szCs w:val="22"/>
          <w:lang w:val="hu"/>
        </w:rPr>
        <w:t xml:space="preserve"> </w:t>
      </w:r>
      <w:r w:rsidRPr="00770FF1">
        <w:rPr>
          <w:i/>
          <w:iCs/>
          <w:szCs w:val="22"/>
          <w:lang w:val="hu"/>
        </w:rPr>
        <w:t>buborékcsomagolásba csomagolt 1 mg-os készítmény esetén</w:t>
      </w:r>
      <w:r w:rsidR="003F42AC">
        <w:rPr>
          <w:i/>
          <w:iCs/>
          <w:szCs w:val="22"/>
          <w:lang w:val="hu"/>
        </w:rPr>
        <w:t>:</w:t>
      </w:r>
    </w:p>
    <w:p w14:paraId="280033BC" w14:textId="6A942DA1" w:rsidR="005D6847" w:rsidRPr="00635B03" w:rsidRDefault="003820DE" w:rsidP="008D4234">
      <w:pPr>
        <w:spacing w:line="240" w:lineRule="auto"/>
        <w:rPr>
          <w:szCs w:val="22"/>
        </w:rPr>
      </w:pPr>
      <w:r w:rsidRPr="00770FF1">
        <w:rPr>
          <w:szCs w:val="22"/>
          <w:lang w:val="hu"/>
        </w:rPr>
        <w:t>Legfeljebb 30 °C-</w:t>
      </w:r>
      <w:proofErr w:type="spellStart"/>
      <w:r w:rsidRPr="00770FF1">
        <w:rPr>
          <w:szCs w:val="22"/>
          <w:lang w:val="hu"/>
        </w:rPr>
        <w:t>on</w:t>
      </w:r>
      <w:proofErr w:type="spellEnd"/>
      <w:r w:rsidRPr="00770FF1">
        <w:rPr>
          <w:szCs w:val="22"/>
          <w:lang w:val="hu"/>
        </w:rPr>
        <w:t xml:space="preserve"> tárolandó.</w:t>
      </w:r>
    </w:p>
    <w:p w14:paraId="3CF0752A" w14:textId="77777777" w:rsidR="000F1EB8" w:rsidRPr="00635B03" w:rsidRDefault="000F1EB8" w:rsidP="008D4234">
      <w:pPr>
        <w:spacing w:line="240" w:lineRule="auto"/>
        <w:rPr>
          <w:szCs w:val="22"/>
        </w:rPr>
      </w:pPr>
    </w:p>
    <w:p w14:paraId="3BBC1574" w14:textId="32EAF49F" w:rsidR="001D29E6" w:rsidRPr="00635B03" w:rsidRDefault="00D56FF5" w:rsidP="000244A6">
      <w:pPr>
        <w:pStyle w:val="Cmsor2"/>
        <w:rPr>
          <w:szCs w:val="22"/>
        </w:rPr>
      </w:pPr>
      <w:r w:rsidRPr="00635B03">
        <w:rPr>
          <w:bCs/>
          <w:szCs w:val="22"/>
          <w:lang w:val="hu"/>
        </w:rPr>
        <w:t>6.5</w:t>
      </w:r>
      <w:r w:rsidRPr="00635B03">
        <w:rPr>
          <w:bCs/>
          <w:szCs w:val="22"/>
          <w:lang w:val="hu"/>
        </w:rPr>
        <w:tab/>
        <w:t>Csomagolás típusa és kiszerelése</w:t>
      </w:r>
    </w:p>
    <w:p w14:paraId="398FE36D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090AEE33" w14:textId="2433BF99" w:rsidR="00144ED0" w:rsidRPr="00635B03" w:rsidRDefault="000E17D4" w:rsidP="008D4234">
      <w:pPr>
        <w:spacing w:line="240" w:lineRule="auto"/>
        <w:rPr>
          <w:szCs w:val="22"/>
        </w:rPr>
      </w:pPr>
      <w:r>
        <w:rPr>
          <w:szCs w:val="22"/>
          <w:lang w:val="hu"/>
        </w:rPr>
        <w:t xml:space="preserve">Filmtabletták </w:t>
      </w:r>
      <w:r w:rsidR="00144ED0" w:rsidRPr="00635B03">
        <w:rPr>
          <w:szCs w:val="22"/>
          <w:lang w:val="hu"/>
        </w:rPr>
        <w:t>PVC/</w:t>
      </w:r>
      <w:proofErr w:type="spellStart"/>
      <w:r w:rsidR="00144ED0" w:rsidRPr="00635B03">
        <w:rPr>
          <w:szCs w:val="22"/>
          <w:lang w:val="hu"/>
        </w:rPr>
        <w:t>PVdC</w:t>
      </w:r>
      <w:proofErr w:type="spellEnd"/>
      <w:r w:rsidR="00144ED0" w:rsidRPr="00635B03">
        <w:rPr>
          <w:szCs w:val="22"/>
          <w:lang w:val="hu"/>
        </w:rPr>
        <w:t>/PVC-</w:t>
      </w:r>
      <w:proofErr w:type="spellStart"/>
      <w:r>
        <w:rPr>
          <w:szCs w:val="22"/>
          <w:lang w:val="hu"/>
        </w:rPr>
        <w:t>Al</w:t>
      </w:r>
      <w:proofErr w:type="spellEnd"/>
      <w:r w:rsidRPr="00635B03">
        <w:rPr>
          <w:szCs w:val="22"/>
          <w:lang w:val="hu"/>
        </w:rPr>
        <w:t xml:space="preserve"> </w:t>
      </w:r>
      <w:r w:rsidR="00144ED0" w:rsidRPr="00635B03">
        <w:rPr>
          <w:szCs w:val="22"/>
          <w:lang w:val="hu"/>
        </w:rPr>
        <w:t>buborékcsomagolás</w:t>
      </w:r>
      <w:r>
        <w:rPr>
          <w:szCs w:val="22"/>
          <w:lang w:val="hu"/>
        </w:rPr>
        <w:t>ban</w:t>
      </w:r>
      <w:r w:rsidR="00144ED0" w:rsidRPr="00635B03">
        <w:rPr>
          <w:szCs w:val="22"/>
          <w:lang w:val="hu"/>
        </w:rPr>
        <w:t>, PVC/PCTFE-</w:t>
      </w:r>
      <w:proofErr w:type="spellStart"/>
      <w:r>
        <w:rPr>
          <w:szCs w:val="22"/>
          <w:lang w:val="hu"/>
        </w:rPr>
        <w:t>Al</w:t>
      </w:r>
      <w:proofErr w:type="spellEnd"/>
      <w:r w:rsidRPr="00635B03">
        <w:rPr>
          <w:szCs w:val="22"/>
          <w:lang w:val="hu"/>
        </w:rPr>
        <w:t xml:space="preserve"> </w:t>
      </w:r>
      <w:r w:rsidR="00144ED0" w:rsidRPr="00635B03">
        <w:rPr>
          <w:szCs w:val="22"/>
          <w:lang w:val="hu"/>
        </w:rPr>
        <w:t>buborékcsomagolás</w:t>
      </w:r>
      <w:r>
        <w:rPr>
          <w:szCs w:val="22"/>
          <w:lang w:val="hu"/>
        </w:rPr>
        <w:t>ban</w:t>
      </w:r>
      <w:r w:rsidR="00144ED0" w:rsidRPr="00635B03">
        <w:rPr>
          <w:szCs w:val="22"/>
          <w:lang w:val="hu"/>
        </w:rPr>
        <w:t xml:space="preserve"> vagy OPA/ALU/PVC-</w:t>
      </w:r>
      <w:proofErr w:type="spellStart"/>
      <w:r>
        <w:rPr>
          <w:szCs w:val="22"/>
          <w:lang w:val="hu"/>
        </w:rPr>
        <w:t>Al</w:t>
      </w:r>
      <w:proofErr w:type="spellEnd"/>
      <w:r w:rsidRPr="00635B03">
        <w:rPr>
          <w:szCs w:val="22"/>
          <w:lang w:val="hu"/>
        </w:rPr>
        <w:t xml:space="preserve"> </w:t>
      </w:r>
      <w:r w:rsidR="00144ED0" w:rsidRPr="00635B03">
        <w:rPr>
          <w:szCs w:val="22"/>
          <w:lang w:val="hu"/>
        </w:rPr>
        <w:t>buborékcsomagolás</w:t>
      </w:r>
      <w:r>
        <w:rPr>
          <w:szCs w:val="22"/>
          <w:lang w:val="hu"/>
        </w:rPr>
        <w:t>ban és dobozban</w:t>
      </w:r>
      <w:r w:rsidR="003C73AF" w:rsidRPr="00635B03">
        <w:rPr>
          <w:szCs w:val="22"/>
          <w:lang w:val="hu"/>
        </w:rPr>
        <w:t>.</w:t>
      </w:r>
    </w:p>
    <w:p w14:paraId="023B4992" w14:textId="77777777" w:rsidR="00F85A91" w:rsidRPr="00635B03" w:rsidRDefault="00F85A91" w:rsidP="008D4234">
      <w:pPr>
        <w:spacing w:line="240" w:lineRule="auto"/>
        <w:rPr>
          <w:szCs w:val="22"/>
        </w:rPr>
      </w:pPr>
    </w:p>
    <w:p w14:paraId="4773F305" w14:textId="2DE7168C" w:rsidR="005D6847" w:rsidRPr="0082217D" w:rsidRDefault="005F0956" w:rsidP="008D4234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 xml:space="preserve">Kiszerelés: </w:t>
      </w:r>
      <w:r w:rsidR="005F2205" w:rsidRPr="00643EF0">
        <w:rPr>
          <w:szCs w:val="22"/>
          <w:lang w:val="en-US" w:eastAsia="de-DE"/>
        </w:rPr>
        <w:t xml:space="preserve">7, 10, 14, 20, 28, 30, 50, 56, 98 </w:t>
      </w:r>
      <w:proofErr w:type="spellStart"/>
      <w:r w:rsidR="005F2205" w:rsidRPr="00643EF0">
        <w:rPr>
          <w:szCs w:val="22"/>
          <w:lang w:val="en-US" w:eastAsia="de-DE"/>
        </w:rPr>
        <w:t>vagy</w:t>
      </w:r>
      <w:proofErr w:type="spellEnd"/>
      <w:r w:rsidR="005F2205" w:rsidRPr="00643EF0">
        <w:rPr>
          <w:szCs w:val="22"/>
          <w:lang w:val="en-US" w:eastAsia="de-DE"/>
        </w:rPr>
        <w:t xml:space="preserve"> 100 </w:t>
      </w:r>
      <w:proofErr w:type="spellStart"/>
      <w:r w:rsidR="000E17D4">
        <w:rPr>
          <w:szCs w:val="22"/>
          <w:lang w:val="en-US" w:eastAsia="de-DE"/>
        </w:rPr>
        <w:t>db</w:t>
      </w:r>
      <w:proofErr w:type="spellEnd"/>
      <w:r w:rsidR="000E17D4">
        <w:rPr>
          <w:szCs w:val="22"/>
          <w:lang w:val="en-US" w:eastAsia="de-DE"/>
        </w:rPr>
        <w:t xml:space="preserve"> </w:t>
      </w:r>
      <w:r w:rsidRPr="0082217D">
        <w:rPr>
          <w:szCs w:val="22"/>
          <w:lang w:val="hu"/>
        </w:rPr>
        <w:t>filmtabletta</w:t>
      </w:r>
      <w:r w:rsidR="00026FF5" w:rsidRPr="0082217D">
        <w:rPr>
          <w:szCs w:val="22"/>
          <w:lang w:val="hu"/>
        </w:rPr>
        <w:t>.</w:t>
      </w:r>
    </w:p>
    <w:p w14:paraId="4300380A" w14:textId="77777777" w:rsidR="002E3A4D" w:rsidRPr="00A2123E" w:rsidRDefault="002E3A4D" w:rsidP="008D4234">
      <w:pPr>
        <w:spacing w:line="240" w:lineRule="auto"/>
        <w:rPr>
          <w:szCs w:val="22"/>
        </w:rPr>
      </w:pPr>
    </w:p>
    <w:p w14:paraId="5D2495F0" w14:textId="77777777" w:rsidR="001D29E6" w:rsidRPr="007B3CA8" w:rsidRDefault="001D29E6" w:rsidP="008D4234">
      <w:pPr>
        <w:spacing w:line="240" w:lineRule="auto"/>
        <w:rPr>
          <w:szCs w:val="22"/>
        </w:rPr>
      </w:pPr>
      <w:r w:rsidRPr="007B3CA8">
        <w:rPr>
          <w:szCs w:val="22"/>
          <w:lang w:val="hu"/>
        </w:rPr>
        <w:t>Nem feltétlenül mindegyik kiszerelés kerül kereskedelmi forgalomba.</w:t>
      </w:r>
    </w:p>
    <w:p w14:paraId="0DC85755" w14:textId="77777777" w:rsidR="001D29E6" w:rsidRPr="00D24220" w:rsidRDefault="001D29E6" w:rsidP="008D4234">
      <w:pPr>
        <w:spacing w:line="240" w:lineRule="auto"/>
        <w:rPr>
          <w:szCs w:val="22"/>
        </w:rPr>
      </w:pPr>
    </w:p>
    <w:p w14:paraId="59CB1A0A" w14:textId="3AE0F872" w:rsidR="001D29E6" w:rsidRPr="00635B03" w:rsidRDefault="001D29E6" w:rsidP="000E17D4">
      <w:pPr>
        <w:pStyle w:val="Cmsor2"/>
        <w:ind w:left="567" w:hanging="567"/>
        <w:rPr>
          <w:szCs w:val="22"/>
        </w:rPr>
      </w:pPr>
      <w:r w:rsidRPr="00635B03">
        <w:rPr>
          <w:bCs/>
          <w:szCs w:val="22"/>
          <w:lang w:val="hu"/>
        </w:rPr>
        <w:t>6.6</w:t>
      </w:r>
      <w:r w:rsidRPr="00635B03">
        <w:rPr>
          <w:bCs/>
          <w:szCs w:val="22"/>
          <w:lang w:val="hu"/>
        </w:rPr>
        <w:tab/>
        <w:t xml:space="preserve">A megsemmisítésre vonatkozó különleges óvintézkedések </w:t>
      </w:r>
      <w:r w:rsidR="000E17D4">
        <w:rPr>
          <w:bCs/>
          <w:szCs w:val="22"/>
          <w:lang w:val="hu"/>
        </w:rPr>
        <w:t>és egyéb, a készítmény kezelésével kapcsolatos információk</w:t>
      </w:r>
    </w:p>
    <w:p w14:paraId="5FB2DA62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38030B64" w14:textId="77777777" w:rsidR="00F331F2" w:rsidRPr="00635B03" w:rsidRDefault="00F331F2" w:rsidP="00F331F2">
      <w:pPr>
        <w:spacing w:line="240" w:lineRule="auto"/>
        <w:rPr>
          <w:szCs w:val="22"/>
        </w:rPr>
      </w:pPr>
      <w:r w:rsidRPr="00635B03">
        <w:rPr>
          <w:szCs w:val="22"/>
          <w:lang w:val="hu"/>
        </w:rPr>
        <w:t>Bármilyen fel nem használt gyógyszer, illetve hulladékanyag megsemmisítését a gyógyszerekre vonatkozó előírások szerint kell végrehajtani.</w:t>
      </w:r>
    </w:p>
    <w:p w14:paraId="54AF1550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3F4D9BC4" w14:textId="745A13B4" w:rsidR="000E17D4" w:rsidRPr="00966046" w:rsidRDefault="000E17D4" w:rsidP="000E17D4">
      <w:pPr>
        <w:outlineLvl w:val="0"/>
        <w:rPr>
          <w:szCs w:val="22"/>
        </w:rPr>
      </w:pPr>
      <w:proofErr w:type="spellStart"/>
      <w:r w:rsidRPr="007C61F2">
        <w:rPr>
          <w:b/>
        </w:rPr>
        <w:t>Megjegyzés</w:t>
      </w:r>
      <w:proofErr w:type="spellEnd"/>
      <w:r w:rsidRPr="007C61F2">
        <w:rPr>
          <w:b/>
        </w:rPr>
        <w:t xml:space="preserve">: </w:t>
      </w:r>
      <w:r w:rsidRPr="005968CD">
        <w:rPr>
          <w:szCs w:val="22"/>
        </w:rPr>
        <w:object w:dxaOrig="225" w:dyaOrig="195" w14:anchorId="7679F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0pt" o:ole="" fillcolor="window">
            <v:imagedata r:id="rId13" o:title=""/>
          </v:shape>
          <o:OLEObject Type="Embed" ProgID="PBrush" ShapeID="_x0000_i1025" DrawAspect="Content" ObjectID="_1683108670" r:id="rId14"/>
        </w:object>
      </w:r>
      <w:r w:rsidRPr="00966046">
        <w:rPr>
          <w:szCs w:val="22"/>
        </w:rPr>
        <w:t xml:space="preserve"> (</w:t>
      </w:r>
      <w:proofErr w:type="spellStart"/>
      <w:r w:rsidRPr="00966046">
        <w:rPr>
          <w:szCs w:val="22"/>
        </w:rPr>
        <w:t>egy</w:t>
      </w:r>
      <w:proofErr w:type="spellEnd"/>
      <w:r w:rsidRPr="00966046">
        <w:rPr>
          <w:szCs w:val="22"/>
        </w:rPr>
        <w:t xml:space="preserve"> </w:t>
      </w:r>
      <w:proofErr w:type="spellStart"/>
      <w:r w:rsidRPr="00966046">
        <w:rPr>
          <w:szCs w:val="22"/>
        </w:rPr>
        <w:t>üres</w:t>
      </w:r>
      <w:proofErr w:type="spellEnd"/>
      <w:r w:rsidRPr="00966046">
        <w:rPr>
          <w:szCs w:val="22"/>
        </w:rPr>
        <w:t xml:space="preserve"> </w:t>
      </w:r>
      <w:proofErr w:type="spellStart"/>
      <w:r w:rsidRPr="00966046">
        <w:rPr>
          <w:szCs w:val="22"/>
        </w:rPr>
        <w:t>kereszt</w:t>
      </w:r>
      <w:proofErr w:type="spellEnd"/>
      <w:r w:rsidRPr="00966046">
        <w:rPr>
          <w:szCs w:val="22"/>
        </w:rPr>
        <w:t>)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pszichotrop</w:t>
      </w:r>
      <w:proofErr w:type="spellEnd"/>
    </w:p>
    <w:p w14:paraId="1F5D972E" w14:textId="4A25BA93" w:rsidR="000E17D4" w:rsidRPr="008A2220" w:rsidRDefault="000E17D4" w:rsidP="000E17D4">
      <w:pPr>
        <w:outlineLvl w:val="0"/>
        <w:rPr>
          <w:b/>
          <w:szCs w:val="22"/>
        </w:rPr>
      </w:pPr>
      <w:r w:rsidRPr="008A2220">
        <w:rPr>
          <w:b/>
          <w:szCs w:val="22"/>
        </w:rPr>
        <w:t>Osztályozás:</w:t>
      </w:r>
      <w:r>
        <w:rPr>
          <w:b/>
          <w:szCs w:val="22"/>
        </w:rPr>
        <w:t xml:space="preserve"> II. csoport</w:t>
      </w:r>
    </w:p>
    <w:p w14:paraId="7EB78D5E" w14:textId="3688978A" w:rsidR="007A7609" w:rsidRDefault="000E17D4" w:rsidP="008D4234">
      <w:pPr>
        <w:spacing w:line="240" w:lineRule="auto"/>
      </w:pPr>
      <w:r>
        <w:t>Kizárólag orvosi rendelvényhez kötött gyógyszer (V).</w:t>
      </w:r>
    </w:p>
    <w:p w14:paraId="312A5D5A" w14:textId="77777777" w:rsidR="000E17D4" w:rsidRDefault="000E17D4" w:rsidP="008D4234">
      <w:pPr>
        <w:spacing w:line="240" w:lineRule="auto"/>
        <w:rPr>
          <w:szCs w:val="22"/>
        </w:rPr>
      </w:pPr>
    </w:p>
    <w:p w14:paraId="36826219" w14:textId="77777777" w:rsidR="000E17D4" w:rsidRPr="00635B03" w:rsidRDefault="000E17D4" w:rsidP="008D4234">
      <w:pPr>
        <w:spacing w:line="240" w:lineRule="auto"/>
        <w:rPr>
          <w:szCs w:val="22"/>
        </w:rPr>
      </w:pPr>
    </w:p>
    <w:p w14:paraId="5BD185E9" w14:textId="77777777" w:rsidR="001D29E6" w:rsidRPr="00635B03" w:rsidRDefault="001D29E6" w:rsidP="000244A6">
      <w:pPr>
        <w:pStyle w:val="Cmsor1"/>
        <w:rPr>
          <w:szCs w:val="22"/>
        </w:rPr>
      </w:pPr>
      <w:r w:rsidRPr="00635B03">
        <w:rPr>
          <w:bCs/>
          <w:szCs w:val="22"/>
          <w:lang w:val="hu"/>
        </w:rPr>
        <w:t>7.</w:t>
      </w:r>
      <w:r w:rsidRPr="00635B03">
        <w:rPr>
          <w:bCs/>
          <w:szCs w:val="22"/>
          <w:lang w:val="hu"/>
        </w:rPr>
        <w:tab/>
        <w:t>A FORGALOMBA HOZATALI ENGEDÉLY JOGOSULTJA</w:t>
      </w:r>
    </w:p>
    <w:p w14:paraId="100B3269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739512D5" w14:textId="77777777" w:rsidR="00FE5552" w:rsidRPr="00643EF0" w:rsidRDefault="00FE5552" w:rsidP="00FE5552">
      <w:pPr>
        <w:pStyle w:val="Default"/>
        <w:rPr>
          <w:sz w:val="22"/>
          <w:szCs w:val="22"/>
          <w:lang w:val="hu-HU" w:eastAsia="de-DE"/>
        </w:rPr>
      </w:pPr>
      <w:r w:rsidRPr="00643EF0">
        <w:rPr>
          <w:sz w:val="22"/>
          <w:szCs w:val="22"/>
          <w:lang w:val="hu-HU"/>
        </w:rPr>
        <w:lastRenderedPageBreak/>
        <w:t>G.L. Pharma GmbH</w:t>
      </w:r>
    </w:p>
    <w:p w14:paraId="39007DC0" w14:textId="77777777" w:rsidR="00FE5552" w:rsidRPr="00643EF0" w:rsidRDefault="00FE5552" w:rsidP="00FE5552">
      <w:pPr>
        <w:pStyle w:val="Default"/>
        <w:rPr>
          <w:sz w:val="22"/>
          <w:szCs w:val="22"/>
          <w:lang w:val="hu-HU"/>
        </w:rPr>
      </w:pPr>
      <w:r w:rsidRPr="00643EF0">
        <w:rPr>
          <w:sz w:val="22"/>
          <w:szCs w:val="22"/>
          <w:lang w:val="hu-HU"/>
        </w:rPr>
        <w:t>8502 Lannach, Schlossplatz 1</w:t>
      </w:r>
    </w:p>
    <w:p w14:paraId="62E4F8B4" w14:textId="77777777" w:rsidR="00FE5552" w:rsidRPr="00643EF0" w:rsidRDefault="00FE5552" w:rsidP="00FE5552">
      <w:pPr>
        <w:pStyle w:val="Default"/>
        <w:rPr>
          <w:sz w:val="22"/>
          <w:szCs w:val="22"/>
          <w:lang w:val="hu-HU"/>
        </w:rPr>
      </w:pPr>
      <w:r w:rsidRPr="00643EF0">
        <w:rPr>
          <w:sz w:val="22"/>
          <w:szCs w:val="22"/>
          <w:lang w:val="hu-HU"/>
        </w:rPr>
        <w:t>Ausztria</w:t>
      </w:r>
    </w:p>
    <w:p w14:paraId="5714A107" w14:textId="77777777" w:rsidR="001D29E6" w:rsidRPr="0082217D" w:rsidRDefault="001D29E6" w:rsidP="008D4234">
      <w:pPr>
        <w:spacing w:line="240" w:lineRule="auto"/>
        <w:rPr>
          <w:szCs w:val="22"/>
        </w:rPr>
      </w:pPr>
    </w:p>
    <w:p w14:paraId="4D72754A" w14:textId="77777777" w:rsidR="001D29E6" w:rsidRPr="00A2123E" w:rsidRDefault="001D29E6" w:rsidP="008D4234">
      <w:pPr>
        <w:spacing w:line="240" w:lineRule="auto"/>
        <w:rPr>
          <w:szCs w:val="22"/>
        </w:rPr>
      </w:pPr>
    </w:p>
    <w:p w14:paraId="3B0A795D" w14:textId="77777777" w:rsidR="001D29E6" w:rsidRPr="007B3CA8" w:rsidRDefault="001D29E6" w:rsidP="000244A6">
      <w:pPr>
        <w:pStyle w:val="Cmsor1"/>
        <w:rPr>
          <w:szCs w:val="22"/>
        </w:rPr>
      </w:pPr>
      <w:r w:rsidRPr="007B3CA8">
        <w:rPr>
          <w:bCs/>
          <w:szCs w:val="22"/>
          <w:lang w:val="hu"/>
        </w:rPr>
        <w:t>8.</w:t>
      </w:r>
      <w:r w:rsidRPr="007B3CA8">
        <w:rPr>
          <w:bCs/>
          <w:szCs w:val="22"/>
          <w:lang w:val="hu"/>
        </w:rPr>
        <w:tab/>
        <w:t xml:space="preserve">A FORGALOMBA HOZATALI ENGEDÉLY SZÁMA(I) </w:t>
      </w:r>
    </w:p>
    <w:p w14:paraId="1BDECAB1" w14:textId="77777777" w:rsidR="001D29E6" w:rsidRPr="00CF0B40" w:rsidRDefault="001D29E6" w:rsidP="008D4234">
      <w:pPr>
        <w:spacing w:line="240" w:lineRule="auto"/>
        <w:rPr>
          <w:i/>
          <w:szCs w:val="22"/>
        </w:rPr>
      </w:pPr>
    </w:p>
    <w:p w14:paraId="07AEF005" w14:textId="1A5A4935" w:rsidR="00CF0B40" w:rsidRPr="00CF0B40" w:rsidRDefault="00CF0B40" w:rsidP="00CF0B40">
      <w:pPr>
        <w:pStyle w:val="NormlWeb"/>
        <w:tabs>
          <w:tab w:val="left" w:pos="2127"/>
        </w:tabs>
        <w:rPr>
          <w:sz w:val="22"/>
          <w:szCs w:val="22"/>
          <w:u w:val="single"/>
        </w:rPr>
      </w:pPr>
      <w:r w:rsidRPr="00CF0B40">
        <w:rPr>
          <w:sz w:val="22"/>
          <w:szCs w:val="22"/>
          <w:u w:val="single"/>
        </w:rPr>
        <w:t>Esogno 1 mg filmtabletta</w:t>
      </w:r>
    </w:p>
    <w:p w14:paraId="2EB85F61" w14:textId="3438C459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</w:rPr>
      </w:pPr>
      <w:r w:rsidRPr="00CF0B40">
        <w:rPr>
          <w:sz w:val="22"/>
          <w:szCs w:val="22"/>
        </w:rPr>
        <w:t>OGYI-T-23640/01</w:t>
      </w:r>
      <w:r w:rsidRPr="00CF0B40">
        <w:rPr>
          <w:sz w:val="22"/>
          <w:szCs w:val="22"/>
        </w:rPr>
        <w:tab/>
        <w:t>7×</w:t>
      </w:r>
      <w:r w:rsidRPr="00CF0B40">
        <w:rPr>
          <w:sz w:val="22"/>
          <w:szCs w:val="22"/>
        </w:rPr>
        <w:tab/>
        <w:t>PVC/PVdC/PVC//Al</w:t>
      </w:r>
      <w:r w:rsidRPr="00CF0B40">
        <w:rPr>
          <w:spacing w:val="-3"/>
          <w:sz w:val="22"/>
          <w:szCs w:val="22"/>
        </w:rPr>
        <w:t xml:space="preserve"> buborékcsomagolásban</w:t>
      </w:r>
    </w:p>
    <w:p w14:paraId="722FE147" w14:textId="77777777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</w:rPr>
      </w:pPr>
    </w:p>
    <w:p w14:paraId="559E7DB9" w14:textId="11D6B488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  <w:u w:val="single"/>
        </w:rPr>
      </w:pPr>
      <w:r w:rsidRPr="00CF0B40">
        <w:rPr>
          <w:sz w:val="22"/>
          <w:szCs w:val="22"/>
          <w:u w:val="single"/>
        </w:rPr>
        <w:t>Esogno 2 mg filmtabletta</w:t>
      </w:r>
    </w:p>
    <w:p w14:paraId="234A8BEA" w14:textId="00D14947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</w:rPr>
      </w:pPr>
      <w:r w:rsidRPr="00CF0B40">
        <w:rPr>
          <w:sz w:val="22"/>
          <w:szCs w:val="22"/>
        </w:rPr>
        <w:t>OGYI-T-23640/02</w:t>
      </w:r>
      <w:r w:rsidRPr="00CF0B40">
        <w:rPr>
          <w:sz w:val="22"/>
          <w:szCs w:val="22"/>
        </w:rPr>
        <w:tab/>
        <w:t>14×</w:t>
      </w:r>
      <w:r w:rsidRPr="00CF0B40">
        <w:rPr>
          <w:sz w:val="22"/>
          <w:szCs w:val="22"/>
        </w:rPr>
        <w:tab/>
        <w:t>PVC/PVdC/PVC//Al</w:t>
      </w:r>
      <w:r w:rsidRPr="00CF0B40">
        <w:rPr>
          <w:spacing w:val="-3"/>
          <w:sz w:val="22"/>
          <w:szCs w:val="22"/>
        </w:rPr>
        <w:t xml:space="preserve"> buborékcsomagolásban</w:t>
      </w:r>
    </w:p>
    <w:p w14:paraId="0ABF83C9" w14:textId="77777777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</w:rPr>
      </w:pPr>
    </w:p>
    <w:p w14:paraId="702F6466" w14:textId="694F9449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  <w:u w:val="single"/>
        </w:rPr>
      </w:pPr>
      <w:r w:rsidRPr="00CF0B40">
        <w:rPr>
          <w:sz w:val="22"/>
          <w:szCs w:val="22"/>
          <w:u w:val="single"/>
        </w:rPr>
        <w:t>Esogno 3 mg filmtabletta</w:t>
      </w:r>
    </w:p>
    <w:p w14:paraId="18F2F509" w14:textId="77F4CC15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pacing w:val="-3"/>
          <w:sz w:val="22"/>
          <w:szCs w:val="22"/>
        </w:rPr>
      </w:pPr>
      <w:r w:rsidRPr="00CF0B40">
        <w:rPr>
          <w:sz w:val="22"/>
          <w:szCs w:val="22"/>
        </w:rPr>
        <w:t>OGYI-T-23640/03</w:t>
      </w:r>
      <w:r>
        <w:rPr>
          <w:sz w:val="22"/>
          <w:szCs w:val="22"/>
        </w:rPr>
        <w:tab/>
      </w:r>
      <w:r w:rsidRPr="00CF0B40">
        <w:rPr>
          <w:sz w:val="22"/>
          <w:szCs w:val="22"/>
        </w:rPr>
        <w:t>14×</w:t>
      </w:r>
      <w:r w:rsidRPr="00CF0B40">
        <w:rPr>
          <w:sz w:val="22"/>
          <w:szCs w:val="22"/>
        </w:rPr>
        <w:tab/>
        <w:t>PVC/PVdC/PVC//Al</w:t>
      </w:r>
      <w:r w:rsidRPr="00CF0B40">
        <w:rPr>
          <w:spacing w:val="-3"/>
          <w:sz w:val="22"/>
          <w:szCs w:val="22"/>
        </w:rPr>
        <w:t xml:space="preserve"> buborékcsomagolásban</w:t>
      </w:r>
    </w:p>
    <w:p w14:paraId="3BAF2712" w14:textId="054630AD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</w:rPr>
      </w:pPr>
      <w:r w:rsidRPr="00CF0B40">
        <w:rPr>
          <w:sz w:val="22"/>
          <w:szCs w:val="22"/>
        </w:rPr>
        <w:t>OGYI-T-23640/04</w:t>
      </w:r>
      <w:r>
        <w:rPr>
          <w:sz w:val="22"/>
          <w:szCs w:val="22"/>
        </w:rPr>
        <w:tab/>
      </w:r>
      <w:r w:rsidRPr="00CF0B40">
        <w:rPr>
          <w:sz w:val="22"/>
          <w:szCs w:val="22"/>
        </w:rPr>
        <w:t>28×</w:t>
      </w:r>
      <w:r w:rsidRPr="00CF0B40">
        <w:rPr>
          <w:sz w:val="22"/>
          <w:szCs w:val="22"/>
        </w:rPr>
        <w:tab/>
        <w:t>PVC/PVdC/PVC//Al</w:t>
      </w:r>
      <w:r w:rsidRPr="00CF0B40">
        <w:rPr>
          <w:spacing w:val="-3"/>
          <w:sz w:val="22"/>
          <w:szCs w:val="22"/>
        </w:rPr>
        <w:t xml:space="preserve"> buborékcsomagolásban</w:t>
      </w:r>
    </w:p>
    <w:p w14:paraId="497ABE59" w14:textId="77777777" w:rsidR="00CF0B40" w:rsidRPr="00CF0B40" w:rsidRDefault="00CF0B40" w:rsidP="00CF0B40">
      <w:pPr>
        <w:pStyle w:val="NormlWeb"/>
        <w:tabs>
          <w:tab w:val="left" w:pos="2268"/>
          <w:tab w:val="left" w:pos="2977"/>
        </w:tabs>
        <w:rPr>
          <w:sz w:val="22"/>
          <w:szCs w:val="22"/>
        </w:rPr>
      </w:pPr>
    </w:p>
    <w:p w14:paraId="17526560" w14:textId="77777777" w:rsidR="001D29E6" w:rsidRPr="00CF0B40" w:rsidRDefault="001D29E6" w:rsidP="008D4234">
      <w:pPr>
        <w:spacing w:line="240" w:lineRule="auto"/>
        <w:rPr>
          <w:szCs w:val="22"/>
        </w:rPr>
      </w:pPr>
    </w:p>
    <w:p w14:paraId="4F07C1BB" w14:textId="77777777" w:rsidR="001D29E6" w:rsidRPr="00635B03" w:rsidRDefault="001D29E6" w:rsidP="000244A6">
      <w:pPr>
        <w:pStyle w:val="Cmsor1"/>
        <w:rPr>
          <w:szCs w:val="22"/>
        </w:rPr>
      </w:pPr>
      <w:r w:rsidRPr="00635B03">
        <w:rPr>
          <w:bCs/>
          <w:szCs w:val="22"/>
          <w:lang w:val="hu"/>
        </w:rPr>
        <w:t>9.</w:t>
      </w:r>
      <w:r w:rsidRPr="00635B03">
        <w:rPr>
          <w:bCs/>
          <w:szCs w:val="22"/>
          <w:lang w:val="hu"/>
        </w:rPr>
        <w:tab/>
        <w:t>A FORGALOMBA HOZATALI ENGEDÉLY ELSŐ KIADÁSÁNAK/ MEGÚJÍTÁSÁNAK DÁTUMA</w:t>
      </w:r>
    </w:p>
    <w:p w14:paraId="77A00310" w14:textId="77777777" w:rsidR="001D29E6" w:rsidRPr="00635B03" w:rsidRDefault="001D29E6" w:rsidP="008D4234">
      <w:pPr>
        <w:spacing w:line="240" w:lineRule="auto"/>
        <w:rPr>
          <w:i/>
          <w:szCs w:val="22"/>
        </w:rPr>
      </w:pPr>
    </w:p>
    <w:p w14:paraId="50A27EBD" w14:textId="6B4B92A4" w:rsidR="001D29E6" w:rsidRPr="00635B03" w:rsidRDefault="000E17D4" w:rsidP="008D4234">
      <w:pPr>
        <w:spacing w:line="240" w:lineRule="auto"/>
        <w:rPr>
          <w:szCs w:val="22"/>
        </w:rPr>
      </w:pPr>
      <w:r>
        <w:rPr>
          <w:szCs w:val="22"/>
          <w:lang w:val="hu"/>
        </w:rPr>
        <w:t>A forgalomba hozatali engedély első kiadásának dátuma:</w:t>
      </w:r>
      <w:r w:rsidR="00CF0B40">
        <w:rPr>
          <w:szCs w:val="22"/>
          <w:lang w:val="hu"/>
        </w:rPr>
        <w:t xml:space="preserve"> 2020. február 18.</w:t>
      </w:r>
    </w:p>
    <w:p w14:paraId="04E4F14E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5E09EC3D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3DB8D520" w14:textId="77777777" w:rsidR="001D29E6" w:rsidRPr="00635B03" w:rsidRDefault="001D29E6" w:rsidP="000244A6">
      <w:pPr>
        <w:pStyle w:val="Cmsor1"/>
        <w:rPr>
          <w:szCs w:val="22"/>
        </w:rPr>
      </w:pPr>
      <w:r w:rsidRPr="00635B03">
        <w:rPr>
          <w:bCs/>
          <w:szCs w:val="22"/>
          <w:lang w:val="hu"/>
        </w:rPr>
        <w:t>10.</w:t>
      </w:r>
      <w:r w:rsidRPr="00635B03">
        <w:rPr>
          <w:bCs/>
          <w:szCs w:val="22"/>
          <w:lang w:val="hu"/>
        </w:rPr>
        <w:tab/>
        <w:t>A SZÖVEG ELLENŐRZÉSÉNEK DÁTUMA</w:t>
      </w:r>
    </w:p>
    <w:p w14:paraId="76D4F4DA" w14:textId="77777777" w:rsidR="001D29E6" w:rsidRPr="00635B03" w:rsidRDefault="001D29E6" w:rsidP="008D4234">
      <w:pPr>
        <w:spacing w:line="240" w:lineRule="auto"/>
        <w:rPr>
          <w:szCs w:val="22"/>
        </w:rPr>
      </w:pPr>
    </w:p>
    <w:p w14:paraId="64D92D06" w14:textId="571ADF29" w:rsidR="001D29E6" w:rsidRDefault="00CF0B40" w:rsidP="000E17D4">
      <w:pPr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2020. február 18.</w:t>
      </w:r>
    </w:p>
    <w:p w14:paraId="3CF0063B" w14:textId="5F2BD335" w:rsidR="00141984" w:rsidRDefault="00141984" w:rsidP="000E17D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39703AAB" w14:textId="77777777" w:rsidR="006119B0" w:rsidRPr="006119B0" w:rsidRDefault="006119B0" w:rsidP="000E17D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F5286ED" w14:textId="494871AB" w:rsidR="00141984" w:rsidRPr="006119B0" w:rsidRDefault="006119B0" w:rsidP="000E17D4">
      <w:pPr>
        <w:tabs>
          <w:tab w:val="clear" w:pos="567"/>
        </w:tabs>
        <w:spacing w:line="240" w:lineRule="auto"/>
        <w:rPr>
          <w:b/>
          <w:bCs/>
          <w:noProof/>
          <w:szCs w:val="22"/>
        </w:rPr>
      </w:pPr>
      <w:r w:rsidRPr="006119B0">
        <w:rPr>
          <w:b/>
          <w:bCs/>
          <w:noProof/>
          <w:szCs w:val="22"/>
        </w:rPr>
        <w:t>Ár- és rendelhetőség:</w:t>
      </w:r>
    </w:p>
    <w:p w14:paraId="0DF9B75F" w14:textId="77777777" w:rsidR="006119B0" w:rsidRPr="006119B0" w:rsidRDefault="006119B0" w:rsidP="006119B0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3FFC7747" w14:textId="77777777" w:rsidR="006119B0" w:rsidRPr="006119B0" w:rsidRDefault="006119B0" w:rsidP="006119B0">
      <w:pPr>
        <w:tabs>
          <w:tab w:val="clear" w:pos="567"/>
        </w:tabs>
        <w:spacing w:line="240" w:lineRule="auto"/>
        <w:rPr>
          <w:noProof/>
          <w:szCs w:val="22"/>
        </w:rPr>
      </w:pPr>
      <w:r w:rsidRPr="006119B0">
        <w:rPr>
          <w:noProof/>
          <w:szCs w:val="22"/>
        </w:rPr>
        <w:t xml:space="preserve"> Kizárólag orvosi rendelvényhez kötött gyógyszer (V). A készítmény támogatással nem rendelkezik. </w:t>
      </w:r>
    </w:p>
    <w:p w14:paraId="7B3D8622" w14:textId="105F608E" w:rsidR="006119B0" w:rsidRDefault="006119B0" w:rsidP="000E17D4">
      <w:pPr>
        <w:tabs>
          <w:tab w:val="clear" w:pos="567"/>
        </w:tabs>
        <w:spacing w:line="240" w:lineRule="auto"/>
        <w:rPr>
          <w:b/>
          <w:bCs/>
          <w:noProof/>
          <w:szCs w:val="22"/>
        </w:rPr>
      </w:pPr>
    </w:p>
    <w:p w14:paraId="3607DCC9" w14:textId="28501ACF" w:rsidR="006119B0" w:rsidRPr="006119B0" w:rsidRDefault="006119B0" w:rsidP="000E17D4">
      <w:pPr>
        <w:tabs>
          <w:tab w:val="clear" w:pos="567"/>
        </w:tabs>
        <w:spacing w:line="240" w:lineRule="auto"/>
        <w:rPr>
          <w:b/>
          <w:bCs/>
          <w:noProof/>
          <w:szCs w:val="22"/>
        </w:rPr>
      </w:pPr>
      <w:r w:rsidRPr="006119B0">
        <w:rPr>
          <w:b/>
          <w:bCs/>
          <w:noProof/>
          <w:szCs w:val="22"/>
        </w:rPr>
        <w:t>Referencia:</w:t>
      </w:r>
    </w:p>
    <w:p w14:paraId="36778ED5" w14:textId="77777777" w:rsidR="006119B0" w:rsidRPr="00A709B6" w:rsidRDefault="006119B0" w:rsidP="006119B0">
      <w:pPr>
        <w:autoSpaceDE w:val="0"/>
        <w:autoSpaceDN w:val="0"/>
        <w:adjustRightInd w:val="0"/>
        <w:spacing w:line="241" w:lineRule="atLeast"/>
        <w:rPr>
          <w:szCs w:val="22"/>
        </w:rPr>
      </w:pPr>
      <w:proofErr w:type="spellStart"/>
      <w:r w:rsidRPr="00A709B6">
        <w:rPr>
          <w:szCs w:val="22"/>
        </w:rPr>
        <w:t>Referencia</w:t>
      </w:r>
      <w:proofErr w:type="spellEnd"/>
      <w:r w:rsidRPr="00A709B6">
        <w:rPr>
          <w:szCs w:val="22"/>
        </w:rPr>
        <w:t xml:space="preserve">: </w:t>
      </w:r>
    </w:p>
    <w:p w14:paraId="23AF58D3" w14:textId="77777777" w:rsidR="006119B0" w:rsidRPr="006119B0" w:rsidRDefault="006119B0" w:rsidP="006119B0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proofErr w:type="spellStart"/>
      <w:r w:rsidRPr="006119B0">
        <w:rPr>
          <w:rFonts w:eastAsia="Verdana"/>
          <w:szCs w:val="22"/>
        </w:rPr>
        <w:t>Dr.</w:t>
      </w:r>
      <w:proofErr w:type="spellEnd"/>
      <w:r w:rsidRPr="006119B0">
        <w:rPr>
          <w:rFonts w:eastAsia="Verdana"/>
          <w:szCs w:val="22"/>
        </w:rPr>
        <w:t xml:space="preserve"> Faludi Béla, </w:t>
      </w:r>
      <w:proofErr w:type="spellStart"/>
      <w:r w:rsidRPr="006119B0">
        <w:rPr>
          <w:rFonts w:eastAsia="Verdana"/>
          <w:szCs w:val="22"/>
        </w:rPr>
        <w:t>Dr.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Rozgonyi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Renáta</w:t>
      </w:r>
      <w:proofErr w:type="spellEnd"/>
      <w:r w:rsidRPr="006119B0">
        <w:rPr>
          <w:rFonts w:eastAsia="Verdana"/>
          <w:szCs w:val="22"/>
        </w:rPr>
        <w:t xml:space="preserve"> Az </w:t>
      </w:r>
      <w:proofErr w:type="spellStart"/>
      <w:r w:rsidRPr="006119B0">
        <w:rPr>
          <w:rFonts w:eastAsia="Verdana"/>
          <w:szCs w:val="22"/>
        </w:rPr>
        <w:t>insomniák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kezelésének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helye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az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alvásmedicinában</w:t>
      </w:r>
      <w:proofErr w:type="spellEnd"/>
      <w:r w:rsidRPr="006119B0">
        <w:rPr>
          <w:rFonts w:eastAsia="Verdana"/>
          <w:szCs w:val="22"/>
        </w:rPr>
        <w:t xml:space="preserve">: </w:t>
      </w:r>
      <w:proofErr w:type="spellStart"/>
      <w:r w:rsidRPr="006119B0">
        <w:rPr>
          <w:rFonts w:eastAsia="Verdana"/>
          <w:szCs w:val="22"/>
        </w:rPr>
        <w:t>gyógyszeres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és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nem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gyógyszeres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eljárások</w:t>
      </w:r>
      <w:proofErr w:type="spellEnd"/>
      <w:r w:rsidRPr="006119B0">
        <w:rPr>
          <w:rFonts w:eastAsia="Verdana"/>
          <w:szCs w:val="22"/>
        </w:rPr>
        <w:t xml:space="preserve">. </w:t>
      </w:r>
      <w:proofErr w:type="spellStart"/>
      <w:r w:rsidRPr="006119B0">
        <w:rPr>
          <w:rFonts w:eastAsia="Verdana"/>
          <w:szCs w:val="22"/>
        </w:rPr>
        <w:t>Ideggyogy</w:t>
      </w:r>
      <w:proofErr w:type="spellEnd"/>
      <w:r w:rsidRPr="006119B0">
        <w:rPr>
          <w:rFonts w:eastAsia="Verdana"/>
          <w:szCs w:val="22"/>
        </w:rPr>
        <w:t xml:space="preserve"> </w:t>
      </w:r>
      <w:proofErr w:type="spellStart"/>
      <w:r w:rsidRPr="006119B0">
        <w:rPr>
          <w:rFonts w:eastAsia="Verdana"/>
          <w:szCs w:val="22"/>
        </w:rPr>
        <w:t>Sz</w:t>
      </w:r>
      <w:proofErr w:type="spellEnd"/>
      <w:r w:rsidRPr="006119B0">
        <w:rPr>
          <w:rFonts w:eastAsia="Verdana"/>
          <w:szCs w:val="22"/>
        </w:rPr>
        <w:t xml:space="preserve"> 2018;71(5–6):149–159.3.</w:t>
      </w:r>
    </w:p>
    <w:p w14:paraId="13EB7F35" w14:textId="77777777" w:rsidR="000C66B5" w:rsidRPr="000C66B5" w:rsidRDefault="00BF2628" w:rsidP="006119B0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proofErr w:type="spellStart"/>
      <w:r>
        <w:rPr>
          <w:rFonts w:eastAsia="Verdana"/>
          <w:szCs w:val="22"/>
        </w:rPr>
        <w:t>Dr.</w:t>
      </w:r>
      <w:proofErr w:type="spellEnd"/>
      <w:r>
        <w:rPr>
          <w:rFonts w:eastAsia="Verdana"/>
          <w:szCs w:val="22"/>
        </w:rPr>
        <w:t xml:space="preserve"> Faludi Béla </w:t>
      </w:r>
      <w:proofErr w:type="spellStart"/>
      <w:r>
        <w:rPr>
          <w:rFonts w:eastAsia="Verdana"/>
          <w:szCs w:val="22"/>
        </w:rPr>
        <w:t>Inszomnia</w:t>
      </w:r>
      <w:proofErr w:type="spellEnd"/>
      <w:r>
        <w:rPr>
          <w:rFonts w:eastAsia="Verdana"/>
          <w:szCs w:val="22"/>
        </w:rPr>
        <w:t xml:space="preserve">: </w:t>
      </w:r>
      <w:proofErr w:type="spellStart"/>
      <w:r>
        <w:rPr>
          <w:rFonts w:eastAsia="Verdana"/>
          <w:szCs w:val="22"/>
        </w:rPr>
        <w:t>eredet</w:t>
      </w:r>
      <w:proofErr w:type="spellEnd"/>
      <w:r>
        <w:rPr>
          <w:rFonts w:eastAsia="Verdana"/>
          <w:szCs w:val="22"/>
        </w:rPr>
        <w:t xml:space="preserve">, </w:t>
      </w:r>
      <w:proofErr w:type="spellStart"/>
      <w:r>
        <w:rPr>
          <w:rFonts w:eastAsia="Verdana"/>
          <w:szCs w:val="22"/>
        </w:rPr>
        <w:t>következmények</w:t>
      </w:r>
      <w:proofErr w:type="spellEnd"/>
      <w:r>
        <w:rPr>
          <w:rFonts w:eastAsia="Verdana"/>
          <w:szCs w:val="22"/>
        </w:rPr>
        <w:t xml:space="preserve">, </w:t>
      </w:r>
      <w:proofErr w:type="spellStart"/>
      <w:r>
        <w:rPr>
          <w:rFonts w:eastAsia="Verdana"/>
          <w:szCs w:val="22"/>
        </w:rPr>
        <w:t>gyógyszeres</w:t>
      </w:r>
      <w:proofErr w:type="spellEnd"/>
      <w:r>
        <w:rPr>
          <w:rFonts w:eastAsia="Verdana"/>
          <w:szCs w:val="22"/>
        </w:rPr>
        <w:t xml:space="preserve"> </w:t>
      </w:r>
      <w:proofErr w:type="spellStart"/>
      <w:r>
        <w:rPr>
          <w:rFonts w:eastAsia="Verdana"/>
          <w:szCs w:val="22"/>
        </w:rPr>
        <w:t>terápiás</w:t>
      </w:r>
      <w:proofErr w:type="spellEnd"/>
      <w:r>
        <w:rPr>
          <w:rFonts w:eastAsia="Verdana"/>
          <w:szCs w:val="22"/>
        </w:rPr>
        <w:t xml:space="preserve"> </w:t>
      </w:r>
      <w:proofErr w:type="spellStart"/>
      <w:r>
        <w:rPr>
          <w:rFonts w:eastAsia="Verdana"/>
          <w:szCs w:val="22"/>
        </w:rPr>
        <w:t>lehetőségei</w:t>
      </w:r>
      <w:proofErr w:type="spellEnd"/>
      <w:r>
        <w:rPr>
          <w:rFonts w:eastAsia="Verdana"/>
          <w:szCs w:val="22"/>
        </w:rPr>
        <w:t>.</w:t>
      </w:r>
      <w:r>
        <w:rPr>
          <w:color w:val="000000" w:themeColor="text1"/>
          <w:szCs w:val="22"/>
          <w:lang w:val="hu-HU" w:eastAsia="hu-HU"/>
        </w:rPr>
        <w:t xml:space="preserve"> Háziorvos Továbbképző Szemle, 2021.26: 65-72</w:t>
      </w:r>
    </w:p>
    <w:p w14:paraId="2ED64758" w14:textId="786D4B37" w:rsidR="006119B0" w:rsidRPr="006119B0" w:rsidRDefault="006119B0" w:rsidP="006119B0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r w:rsidRPr="00A709B6">
        <w:rPr>
          <w:szCs w:val="22"/>
        </w:rPr>
        <w:t xml:space="preserve">OGYEI </w:t>
      </w:r>
      <w:proofErr w:type="spellStart"/>
      <w:r w:rsidRPr="00A709B6">
        <w:rPr>
          <w:szCs w:val="22"/>
        </w:rPr>
        <w:t>gyógyszer</w:t>
      </w:r>
      <w:proofErr w:type="spellEnd"/>
      <w:r w:rsidRPr="00A709B6">
        <w:rPr>
          <w:szCs w:val="22"/>
        </w:rPr>
        <w:t xml:space="preserve"> </w:t>
      </w:r>
      <w:proofErr w:type="spellStart"/>
      <w:r w:rsidRPr="00A709B6">
        <w:rPr>
          <w:szCs w:val="22"/>
        </w:rPr>
        <w:t>adatbázis</w:t>
      </w:r>
      <w:proofErr w:type="spellEnd"/>
      <w:r w:rsidRPr="00A709B6">
        <w:rPr>
          <w:szCs w:val="22"/>
        </w:rPr>
        <w:t xml:space="preserve">, 2020. </w:t>
      </w:r>
      <w:proofErr w:type="spellStart"/>
      <w:r w:rsidRPr="00A709B6">
        <w:rPr>
          <w:szCs w:val="22"/>
        </w:rPr>
        <w:t>december</w:t>
      </w:r>
      <w:proofErr w:type="spellEnd"/>
      <w:r w:rsidRPr="00A709B6">
        <w:rPr>
          <w:szCs w:val="22"/>
        </w:rPr>
        <w:t xml:space="preserve"> 5-én </w:t>
      </w:r>
      <w:proofErr w:type="spellStart"/>
      <w:r w:rsidRPr="00A709B6">
        <w:rPr>
          <w:szCs w:val="22"/>
        </w:rPr>
        <w:t>ellenőrizve</w:t>
      </w:r>
      <w:proofErr w:type="spellEnd"/>
      <w:r w:rsidRPr="00A709B6">
        <w:rPr>
          <w:szCs w:val="22"/>
        </w:rPr>
        <w:t xml:space="preserve">: </w:t>
      </w:r>
      <w:hyperlink r:id="rId15" w:history="1">
        <w:r w:rsidRPr="00A709B6">
          <w:rPr>
            <w:rStyle w:val="Hiperhivatkozs"/>
            <w:szCs w:val="22"/>
          </w:rPr>
          <w:t>https://ogyei.gov.hu/gyogyszeradatbazis</w:t>
        </w:r>
      </w:hyperlink>
    </w:p>
    <w:p w14:paraId="6D7BBD34" w14:textId="77777777" w:rsidR="006119B0" w:rsidRPr="006119B0" w:rsidRDefault="006119B0" w:rsidP="006119B0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proofErr w:type="spellStart"/>
      <w:r w:rsidRPr="00A709B6">
        <w:rPr>
          <w:szCs w:val="22"/>
        </w:rPr>
        <w:t>Esogno</w:t>
      </w:r>
      <w:proofErr w:type="spellEnd"/>
      <w:r w:rsidRPr="00A709B6">
        <w:rPr>
          <w:szCs w:val="22"/>
        </w:rPr>
        <w:t xml:space="preserve"> </w:t>
      </w:r>
      <w:proofErr w:type="spellStart"/>
      <w:r w:rsidRPr="00A709B6">
        <w:rPr>
          <w:szCs w:val="22"/>
        </w:rPr>
        <w:t>alkalmazási</w:t>
      </w:r>
      <w:proofErr w:type="spellEnd"/>
      <w:r w:rsidRPr="00A709B6">
        <w:rPr>
          <w:szCs w:val="22"/>
        </w:rPr>
        <w:t xml:space="preserve"> </w:t>
      </w:r>
      <w:proofErr w:type="spellStart"/>
      <w:r w:rsidRPr="00A709B6">
        <w:rPr>
          <w:szCs w:val="22"/>
        </w:rPr>
        <w:t>előírás</w:t>
      </w:r>
      <w:proofErr w:type="spellEnd"/>
    </w:p>
    <w:p w14:paraId="3F16639C" w14:textId="294160DD" w:rsidR="006119B0" w:rsidRPr="006119B0" w:rsidRDefault="0034097B" w:rsidP="006119B0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r w:rsidRPr="0034097B">
        <w:rPr>
          <w:rFonts w:eastAsia="Verdana"/>
          <w:szCs w:val="22"/>
        </w:rPr>
        <w:t>66/2012. (IV. 2.) </w:t>
      </w:r>
      <w:proofErr w:type="spellStart"/>
      <w:r w:rsidRPr="0034097B">
        <w:rPr>
          <w:rFonts w:eastAsia="Verdana"/>
          <w:szCs w:val="22"/>
        </w:rPr>
        <w:t>Korm</w:t>
      </w:r>
      <w:proofErr w:type="spellEnd"/>
      <w:r w:rsidRPr="0034097B">
        <w:rPr>
          <w:rFonts w:eastAsia="Verdana"/>
          <w:szCs w:val="22"/>
        </w:rPr>
        <w:t xml:space="preserve">. </w:t>
      </w:r>
      <w:proofErr w:type="spellStart"/>
      <w:r w:rsidRPr="0034097B">
        <w:rPr>
          <w:rFonts w:eastAsia="Verdana"/>
          <w:szCs w:val="22"/>
        </w:rPr>
        <w:t>rendelet</w:t>
      </w:r>
      <w:proofErr w:type="spellEnd"/>
      <w:r w:rsidRPr="0034097B">
        <w:rPr>
          <w:rFonts w:eastAsia="Verdana"/>
          <w:szCs w:val="22"/>
        </w:rPr>
        <w:t xml:space="preserve"> </w:t>
      </w:r>
      <w:proofErr w:type="spellStart"/>
      <w:r w:rsidRPr="0034097B">
        <w:rPr>
          <w:rFonts w:eastAsia="Verdana"/>
          <w:szCs w:val="22"/>
        </w:rPr>
        <w:t>és</w:t>
      </w:r>
      <w:proofErr w:type="spellEnd"/>
      <w:r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6119B0" w:rsidRPr="00A709B6">
        <w:rPr>
          <w:szCs w:val="22"/>
        </w:rPr>
        <w:t xml:space="preserve">347/2019. (XII. 23.) </w:t>
      </w:r>
      <w:proofErr w:type="spellStart"/>
      <w:r w:rsidR="006119B0" w:rsidRPr="00A709B6">
        <w:rPr>
          <w:szCs w:val="22"/>
        </w:rPr>
        <w:t>Korm</w:t>
      </w:r>
      <w:proofErr w:type="spellEnd"/>
      <w:r w:rsidR="006119B0" w:rsidRPr="00A709B6">
        <w:rPr>
          <w:szCs w:val="22"/>
        </w:rPr>
        <w:t xml:space="preserve">. </w:t>
      </w:r>
      <w:proofErr w:type="spellStart"/>
      <w:r w:rsidR="006119B0" w:rsidRPr="00A709B6">
        <w:rPr>
          <w:szCs w:val="22"/>
        </w:rPr>
        <w:t>rendelet</w:t>
      </w:r>
      <w:proofErr w:type="spellEnd"/>
      <w:r w:rsidR="006119B0" w:rsidRPr="00A709B6">
        <w:rPr>
          <w:szCs w:val="22"/>
        </w:rPr>
        <w:t xml:space="preserve"> 14. § g), Magyar </w:t>
      </w:r>
      <w:proofErr w:type="spellStart"/>
      <w:r w:rsidR="006119B0" w:rsidRPr="00A709B6">
        <w:rPr>
          <w:szCs w:val="22"/>
        </w:rPr>
        <w:t>Közlöny</w:t>
      </w:r>
      <w:proofErr w:type="spellEnd"/>
      <w:r w:rsidR="006119B0" w:rsidRPr="00A709B6">
        <w:rPr>
          <w:szCs w:val="22"/>
        </w:rPr>
        <w:t xml:space="preserve"> 2016. </w:t>
      </w:r>
      <w:proofErr w:type="spellStart"/>
      <w:r w:rsidR="006119B0" w:rsidRPr="00A709B6">
        <w:rPr>
          <w:szCs w:val="22"/>
        </w:rPr>
        <w:t>szám</w:t>
      </w:r>
      <w:proofErr w:type="spellEnd"/>
      <w:r w:rsidR="006119B0" w:rsidRPr="00A709B6">
        <w:rPr>
          <w:szCs w:val="22"/>
        </w:rPr>
        <w:t xml:space="preserve">, 2019. </w:t>
      </w:r>
      <w:proofErr w:type="spellStart"/>
      <w:r w:rsidR="006119B0" w:rsidRPr="00A709B6">
        <w:rPr>
          <w:szCs w:val="22"/>
        </w:rPr>
        <w:t>december</w:t>
      </w:r>
      <w:proofErr w:type="spellEnd"/>
      <w:r w:rsidR="006119B0" w:rsidRPr="00A709B6">
        <w:rPr>
          <w:szCs w:val="22"/>
        </w:rPr>
        <w:t xml:space="preserve"> 23.</w:t>
      </w:r>
    </w:p>
    <w:p w14:paraId="58F82AEA" w14:textId="77777777" w:rsidR="006119B0" w:rsidRPr="006119B0" w:rsidRDefault="006119B0" w:rsidP="006119B0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r w:rsidRPr="006119B0">
        <w:rPr>
          <w:szCs w:val="22"/>
        </w:rPr>
        <w:t xml:space="preserve">Elizabeth K </w:t>
      </w:r>
      <w:proofErr w:type="spellStart"/>
      <w:r w:rsidRPr="006119B0">
        <w:rPr>
          <w:szCs w:val="22"/>
        </w:rPr>
        <w:t>Stranks</w:t>
      </w:r>
      <w:proofErr w:type="spellEnd"/>
      <w:r w:rsidRPr="006119B0">
        <w:rPr>
          <w:szCs w:val="22"/>
        </w:rPr>
        <w:t xml:space="preserve">, Simon F Crowe; The acute cognitive effects of zopiclone, zolpidem, zaleplon, and eszopiclone: A systematic review and meta-analysis; J Clin Exp </w:t>
      </w:r>
      <w:proofErr w:type="spellStart"/>
      <w:r w:rsidRPr="006119B0">
        <w:rPr>
          <w:szCs w:val="22"/>
        </w:rPr>
        <w:t>Neuropsychol</w:t>
      </w:r>
      <w:proofErr w:type="spellEnd"/>
      <w:r w:rsidRPr="006119B0">
        <w:rPr>
          <w:szCs w:val="22"/>
        </w:rPr>
        <w:t xml:space="preserve">. 2014;36(7):691-700. </w:t>
      </w:r>
      <w:proofErr w:type="spellStart"/>
      <w:r w:rsidRPr="006119B0">
        <w:rPr>
          <w:szCs w:val="22"/>
        </w:rPr>
        <w:t>doi</w:t>
      </w:r>
      <w:proofErr w:type="spellEnd"/>
      <w:r w:rsidRPr="006119B0">
        <w:rPr>
          <w:szCs w:val="22"/>
        </w:rPr>
        <w:t xml:space="preserve">: 10.1080/13803395.2014.928268. </w:t>
      </w:r>
    </w:p>
    <w:p w14:paraId="43934BA4" w14:textId="77E79D64" w:rsidR="006119B0" w:rsidRDefault="006119B0" w:rsidP="006119B0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r w:rsidRPr="006119B0">
        <w:rPr>
          <w:szCs w:val="22"/>
        </w:rPr>
        <w:t>Luciano Ribeiro Pinto Jr et al. Eszopiclone versus zopiclone in the treatment of insomnia Clinics (Sao Paulo). 2016 Jan; 71(1): 5–9.</w:t>
      </w:r>
    </w:p>
    <w:p w14:paraId="0B8DF473" w14:textId="7A2DF477" w:rsidR="008964C3" w:rsidRPr="00BF2628" w:rsidRDefault="00BF2628" w:rsidP="00BF2628">
      <w:pPr>
        <w:pStyle w:val="Listaszerbekezds"/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spacing w:line="241" w:lineRule="atLeast"/>
        <w:rPr>
          <w:szCs w:val="22"/>
        </w:rPr>
      </w:pPr>
      <w:r w:rsidRPr="00BF2628">
        <w:rPr>
          <w:szCs w:val="22"/>
        </w:rPr>
        <w:t xml:space="preserve">James K. Walsh et al. Nightly Treatment of Primary Insomnia </w:t>
      </w:r>
      <w:proofErr w:type="gramStart"/>
      <w:r w:rsidRPr="00BF2628">
        <w:rPr>
          <w:szCs w:val="22"/>
        </w:rPr>
        <w:t>With</w:t>
      </w:r>
      <w:proofErr w:type="gramEnd"/>
      <w:r w:rsidRPr="00BF2628">
        <w:rPr>
          <w:szCs w:val="22"/>
        </w:rPr>
        <w:t xml:space="preserve"> Eszopiclone for Six Months: Effect on</w:t>
      </w:r>
      <w:r>
        <w:rPr>
          <w:szCs w:val="22"/>
        </w:rPr>
        <w:t xml:space="preserve"> </w:t>
      </w:r>
      <w:r w:rsidRPr="00BF2628">
        <w:rPr>
          <w:szCs w:val="22"/>
        </w:rPr>
        <w:t>Sleep, Quality of Life, and Work Limitations</w:t>
      </w:r>
      <w:r>
        <w:rPr>
          <w:szCs w:val="22"/>
        </w:rPr>
        <w:t xml:space="preserve">; </w:t>
      </w:r>
      <w:r w:rsidRPr="00BF2628">
        <w:rPr>
          <w:szCs w:val="22"/>
        </w:rPr>
        <w:t>SLEEP, Vol. 30, No. 8, 2007</w:t>
      </w:r>
    </w:p>
    <w:p w14:paraId="242134DE" w14:textId="77777777" w:rsidR="006119B0" w:rsidRPr="006119B0" w:rsidRDefault="006119B0" w:rsidP="000E17D4">
      <w:pPr>
        <w:tabs>
          <w:tab w:val="clear" w:pos="567"/>
        </w:tabs>
        <w:spacing w:line="240" w:lineRule="auto"/>
        <w:rPr>
          <w:b/>
          <w:bCs/>
          <w:noProof/>
          <w:szCs w:val="22"/>
        </w:rPr>
      </w:pPr>
    </w:p>
    <w:sectPr w:rsidR="006119B0" w:rsidRPr="006119B0" w:rsidSect="0084172C">
      <w:headerReference w:type="default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4F12" w14:textId="77777777" w:rsidR="00970AD6" w:rsidRDefault="00970AD6">
      <w:r>
        <w:separator/>
      </w:r>
    </w:p>
  </w:endnote>
  <w:endnote w:type="continuationSeparator" w:id="0">
    <w:p w14:paraId="1B846E8A" w14:textId="77777777" w:rsidR="00970AD6" w:rsidRDefault="009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CED" w14:textId="0981F626" w:rsidR="008964C3" w:rsidRPr="000C1913" w:rsidRDefault="008964C3">
    <w:pPr>
      <w:pStyle w:val="llb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>
      <w:rPr>
        <w:rFonts w:ascii="Arial" w:hAnsi="Arial" w:cs="Arial"/>
        <w:lang w:val="hu"/>
      </w:rPr>
      <w:fldChar w:fldCharType="begin"/>
    </w:r>
    <w:r>
      <w:rPr>
        <w:rFonts w:ascii="Arial" w:hAnsi="Arial" w:cs="Arial"/>
        <w:lang w:val="hu"/>
      </w:rPr>
      <w:instrText xml:space="preserve"> EQ </w:instrText>
    </w:r>
    <w:r>
      <w:rPr>
        <w:rFonts w:ascii="Arial" w:hAnsi="Arial" w:cs="Arial"/>
        <w:lang w:val="h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1439" w14:textId="59CCCD78" w:rsidR="008964C3" w:rsidRPr="00770FF1" w:rsidRDefault="008964C3" w:rsidP="008B0CA4">
    <w:pPr>
      <w:pStyle w:val="llb"/>
      <w:tabs>
        <w:tab w:val="clear" w:pos="8930"/>
        <w:tab w:val="right" w:pos="8931"/>
      </w:tabs>
      <w:ind w:right="96"/>
      <w:rPr>
        <w:rStyle w:val="Oldalszm"/>
        <w:rFonts w:ascii="Times New Roman" w:hAnsi="Times New Roman"/>
        <w:sz w:val="18"/>
        <w:szCs w:val="18"/>
        <w:lang w:val="hu"/>
      </w:rPr>
    </w:pPr>
    <w:r w:rsidRPr="00770FF1">
      <w:rPr>
        <w:rFonts w:ascii="Times New Roman" w:hAnsi="Times New Roman"/>
        <w:sz w:val="18"/>
        <w:szCs w:val="18"/>
        <w:lang w:val="hu"/>
      </w:rPr>
      <w:fldChar w:fldCharType="begin"/>
    </w:r>
    <w:r w:rsidRPr="00770FF1">
      <w:rPr>
        <w:rFonts w:ascii="Times New Roman" w:hAnsi="Times New Roman"/>
        <w:sz w:val="18"/>
        <w:szCs w:val="18"/>
        <w:lang w:val="hu"/>
      </w:rPr>
      <w:instrText xml:space="preserve"> EQ </w:instrText>
    </w:r>
    <w:r w:rsidRPr="00770FF1">
      <w:rPr>
        <w:rFonts w:ascii="Times New Roman" w:hAnsi="Times New Roman"/>
        <w:sz w:val="18"/>
        <w:szCs w:val="18"/>
        <w:lang w:val="hu"/>
      </w:rPr>
      <w:fldChar w:fldCharType="end"/>
    </w:r>
    <w:r w:rsidRPr="00770FF1">
      <w:rPr>
        <w:rStyle w:val="Oldalszm"/>
        <w:rFonts w:ascii="Times New Roman" w:hAnsi="Times New Roman"/>
        <w:sz w:val="18"/>
        <w:szCs w:val="18"/>
        <w:lang w:val="hu"/>
      </w:rPr>
      <w:t>OGYÉI/43930/2018</w:t>
    </w:r>
  </w:p>
  <w:p w14:paraId="6277CE3C" w14:textId="77777777" w:rsidR="008964C3" w:rsidRPr="00770FF1" w:rsidRDefault="008964C3" w:rsidP="008B0CA4">
    <w:pPr>
      <w:pStyle w:val="llb"/>
      <w:tabs>
        <w:tab w:val="clear" w:pos="8930"/>
        <w:tab w:val="right" w:pos="8931"/>
      </w:tabs>
      <w:ind w:right="96"/>
      <w:rPr>
        <w:rStyle w:val="Oldalszm"/>
        <w:rFonts w:ascii="Times New Roman" w:hAnsi="Times New Roman"/>
        <w:sz w:val="18"/>
        <w:szCs w:val="18"/>
        <w:lang w:val="hu"/>
      </w:rPr>
    </w:pPr>
    <w:r w:rsidRPr="00770FF1">
      <w:rPr>
        <w:rStyle w:val="Oldalszm"/>
        <w:rFonts w:ascii="Times New Roman" w:hAnsi="Times New Roman"/>
        <w:sz w:val="18"/>
        <w:szCs w:val="18"/>
        <w:lang w:val="hu"/>
      </w:rPr>
      <w:t>OGYÉI/43932/2018</w:t>
    </w:r>
  </w:p>
  <w:p w14:paraId="5F45ACF0" w14:textId="292FB37B" w:rsidR="008964C3" w:rsidRPr="00770FF1" w:rsidRDefault="008964C3" w:rsidP="00770FF1">
    <w:pPr>
      <w:pStyle w:val="llb"/>
      <w:tabs>
        <w:tab w:val="clear" w:pos="8930"/>
        <w:tab w:val="right" w:pos="8931"/>
      </w:tabs>
      <w:ind w:right="96"/>
      <w:rPr>
        <w:rFonts w:ascii="Times New Roman" w:hAnsi="Times New Roman"/>
        <w:sz w:val="18"/>
        <w:szCs w:val="18"/>
      </w:rPr>
    </w:pPr>
    <w:r w:rsidRPr="00770FF1">
      <w:rPr>
        <w:rStyle w:val="Oldalszm"/>
        <w:rFonts w:ascii="Times New Roman" w:hAnsi="Times New Roman"/>
        <w:sz w:val="18"/>
        <w:szCs w:val="18"/>
        <w:lang w:val="hu"/>
      </w:rPr>
      <w:t>OGYÉI/43933/2018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6465" w14:textId="77777777" w:rsidR="00970AD6" w:rsidRDefault="00970AD6">
      <w:r>
        <w:separator/>
      </w:r>
    </w:p>
  </w:footnote>
  <w:footnote w:type="continuationSeparator" w:id="0">
    <w:p w14:paraId="260AC290" w14:textId="77777777" w:rsidR="00970AD6" w:rsidRDefault="0097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14814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36E5D6A" w14:textId="1C022297" w:rsidR="008964C3" w:rsidRPr="00770FF1" w:rsidRDefault="008964C3" w:rsidP="00770FF1">
        <w:pPr>
          <w:pStyle w:val="lfej"/>
          <w:jc w:val="center"/>
          <w:rPr>
            <w:rFonts w:ascii="Times New Roman" w:hAnsi="Times New Roman"/>
            <w:sz w:val="18"/>
            <w:szCs w:val="18"/>
          </w:rPr>
        </w:pPr>
        <w:r w:rsidRPr="00770FF1">
          <w:rPr>
            <w:rFonts w:ascii="Times New Roman" w:hAnsi="Times New Roman"/>
            <w:sz w:val="18"/>
            <w:szCs w:val="18"/>
          </w:rPr>
          <w:fldChar w:fldCharType="begin"/>
        </w:r>
        <w:r w:rsidRPr="00770FF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70FF1">
          <w:rPr>
            <w:rFonts w:ascii="Times New Roman" w:hAnsi="Times New Roman"/>
            <w:sz w:val="18"/>
            <w:szCs w:val="18"/>
          </w:rPr>
          <w:fldChar w:fldCharType="separate"/>
        </w:r>
        <w:r w:rsidRPr="00CF0B40">
          <w:rPr>
            <w:rFonts w:ascii="Times New Roman" w:hAnsi="Times New Roman"/>
            <w:noProof/>
            <w:sz w:val="18"/>
            <w:szCs w:val="18"/>
            <w:lang w:val="hu-HU"/>
          </w:rPr>
          <w:t>13</w:t>
        </w:r>
        <w:r w:rsidRPr="00770FF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135FB8"/>
    <w:multiLevelType w:val="hybridMultilevel"/>
    <w:tmpl w:val="5734D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643CA"/>
    <w:multiLevelType w:val="hybridMultilevel"/>
    <w:tmpl w:val="B01CC174"/>
    <w:lvl w:ilvl="0" w:tplc="D32E4A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6E92"/>
    <w:multiLevelType w:val="hybridMultilevel"/>
    <w:tmpl w:val="46EE7EBA"/>
    <w:lvl w:ilvl="0" w:tplc="D32E4A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A98537C"/>
    <w:multiLevelType w:val="hybridMultilevel"/>
    <w:tmpl w:val="22300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32E1BB0"/>
    <w:multiLevelType w:val="hybridMultilevel"/>
    <w:tmpl w:val="5734D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A7843C1"/>
    <w:multiLevelType w:val="hybridMultilevel"/>
    <w:tmpl w:val="E89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C7D518F"/>
    <w:multiLevelType w:val="hybridMultilevel"/>
    <w:tmpl w:val="0CCC3A7C"/>
    <w:lvl w:ilvl="0" w:tplc="D32E4A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7"/>
  </w:num>
  <w:num w:numId="5">
    <w:abstractNumId w:val="14"/>
  </w:num>
  <w:num w:numId="6">
    <w:abstractNumId w:val="24"/>
  </w:num>
  <w:num w:numId="7">
    <w:abstractNumId w:val="23"/>
  </w:num>
  <w:num w:numId="8">
    <w:abstractNumId w:val="9"/>
  </w:num>
  <w:num w:numId="9">
    <w:abstractNumId w:val="34"/>
  </w:num>
  <w:num w:numId="10">
    <w:abstractNumId w:val="36"/>
  </w:num>
  <w:num w:numId="11">
    <w:abstractNumId w:val="19"/>
  </w:num>
  <w:num w:numId="12">
    <w:abstractNumId w:val="16"/>
  </w:num>
  <w:num w:numId="13">
    <w:abstractNumId w:val="2"/>
  </w:num>
  <w:num w:numId="14">
    <w:abstractNumId w:val="33"/>
  </w:num>
  <w:num w:numId="15">
    <w:abstractNumId w:val="21"/>
  </w:num>
  <w:num w:numId="16">
    <w:abstractNumId w:val="40"/>
  </w:num>
  <w:num w:numId="17">
    <w:abstractNumId w:val="10"/>
  </w:num>
  <w:num w:numId="18">
    <w:abstractNumId w:val="1"/>
  </w:num>
  <w:num w:numId="19">
    <w:abstractNumId w:val="20"/>
  </w:num>
  <w:num w:numId="20">
    <w:abstractNumId w:val="3"/>
  </w:num>
  <w:num w:numId="21">
    <w:abstractNumId w:val="8"/>
  </w:num>
  <w:num w:numId="22">
    <w:abstractNumId w:val="27"/>
  </w:num>
  <w:num w:numId="23">
    <w:abstractNumId w:val="32"/>
  </w:num>
  <w:num w:numId="24">
    <w:abstractNumId w:val="26"/>
  </w:num>
  <w:num w:numId="25">
    <w:abstractNumId w:val="15"/>
  </w:num>
  <w:num w:numId="26">
    <w:abstractNumId w:val="12"/>
  </w:num>
  <w:num w:numId="27">
    <w:abstractNumId w:val="22"/>
  </w:num>
  <w:num w:numId="28">
    <w:abstractNumId w:val="25"/>
  </w:num>
  <w:num w:numId="29">
    <w:abstractNumId w:val="17"/>
  </w:num>
  <w:num w:numId="30">
    <w:abstractNumId w:val="11"/>
  </w:num>
  <w:num w:numId="31">
    <w:abstractNumId w:val="29"/>
  </w:num>
  <w:num w:numId="32">
    <w:abstractNumId w:val="31"/>
  </w:num>
  <w:num w:numId="33">
    <w:abstractNumId w:val="28"/>
  </w:num>
  <w:num w:numId="34">
    <w:abstractNumId w:val="18"/>
  </w:num>
  <w:num w:numId="35">
    <w:abstractNumId w:val="4"/>
  </w:num>
  <w:num w:numId="36">
    <w:abstractNumId w:val="41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38"/>
  </w:num>
  <w:num w:numId="39">
    <w:abstractNumId w:val="6"/>
  </w:num>
  <w:num w:numId="40">
    <w:abstractNumId w:val="7"/>
  </w:num>
  <w:num w:numId="41">
    <w:abstractNumId w:val="13"/>
  </w:num>
  <w:num w:numId="42">
    <w:abstractNumId w:val="35"/>
  </w:num>
  <w:num w:numId="43">
    <w:abstractNumId w:val="3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hu-HU" w:vendorID="64" w:dllVersion="0" w:nlCheck="1" w:checkStyle="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53ACC"/>
    <w:rsid w:val="00000D6F"/>
    <w:rsid w:val="00001844"/>
    <w:rsid w:val="000064E6"/>
    <w:rsid w:val="000131C2"/>
    <w:rsid w:val="00021C84"/>
    <w:rsid w:val="000244A6"/>
    <w:rsid w:val="00026FF5"/>
    <w:rsid w:val="00030C96"/>
    <w:rsid w:val="00031340"/>
    <w:rsid w:val="00032E6F"/>
    <w:rsid w:val="00034DD2"/>
    <w:rsid w:val="0003538D"/>
    <w:rsid w:val="00040D61"/>
    <w:rsid w:val="000416E8"/>
    <w:rsid w:val="00041B3D"/>
    <w:rsid w:val="00041DA7"/>
    <w:rsid w:val="000425D4"/>
    <w:rsid w:val="00043B8F"/>
    <w:rsid w:val="000442A6"/>
    <w:rsid w:val="00046093"/>
    <w:rsid w:val="00053137"/>
    <w:rsid w:val="0005596F"/>
    <w:rsid w:val="00061E2F"/>
    <w:rsid w:val="000668E1"/>
    <w:rsid w:val="000673AD"/>
    <w:rsid w:val="0006763A"/>
    <w:rsid w:val="00067D17"/>
    <w:rsid w:val="00072FDF"/>
    <w:rsid w:val="00073591"/>
    <w:rsid w:val="00074387"/>
    <w:rsid w:val="00074AFF"/>
    <w:rsid w:val="000802DD"/>
    <w:rsid w:val="0008296F"/>
    <w:rsid w:val="00083518"/>
    <w:rsid w:val="00084F5D"/>
    <w:rsid w:val="00086803"/>
    <w:rsid w:val="0009129B"/>
    <w:rsid w:val="00093AEE"/>
    <w:rsid w:val="00094848"/>
    <w:rsid w:val="00095C1C"/>
    <w:rsid w:val="000A1E8F"/>
    <w:rsid w:val="000A4447"/>
    <w:rsid w:val="000A6950"/>
    <w:rsid w:val="000B073A"/>
    <w:rsid w:val="000B5951"/>
    <w:rsid w:val="000C1913"/>
    <w:rsid w:val="000C593C"/>
    <w:rsid w:val="000C66B5"/>
    <w:rsid w:val="000D15E9"/>
    <w:rsid w:val="000D1DB3"/>
    <w:rsid w:val="000D3AC6"/>
    <w:rsid w:val="000D3DCD"/>
    <w:rsid w:val="000D3EE1"/>
    <w:rsid w:val="000D42EB"/>
    <w:rsid w:val="000D48BC"/>
    <w:rsid w:val="000D54AD"/>
    <w:rsid w:val="000D7AA6"/>
    <w:rsid w:val="000E17D4"/>
    <w:rsid w:val="000F06B0"/>
    <w:rsid w:val="000F1EB8"/>
    <w:rsid w:val="000F39DD"/>
    <w:rsid w:val="00101D15"/>
    <w:rsid w:val="00112847"/>
    <w:rsid w:val="00113517"/>
    <w:rsid w:val="001144CE"/>
    <w:rsid w:val="001166A5"/>
    <w:rsid w:val="0012589A"/>
    <w:rsid w:val="001319C8"/>
    <w:rsid w:val="001326DA"/>
    <w:rsid w:val="00133171"/>
    <w:rsid w:val="0013384E"/>
    <w:rsid w:val="00135EEC"/>
    <w:rsid w:val="001416A7"/>
    <w:rsid w:val="00141984"/>
    <w:rsid w:val="00142116"/>
    <w:rsid w:val="00144ED0"/>
    <w:rsid w:val="00146F00"/>
    <w:rsid w:val="00147DAA"/>
    <w:rsid w:val="001520C4"/>
    <w:rsid w:val="00152CC5"/>
    <w:rsid w:val="00152E50"/>
    <w:rsid w:val="00157551"/>
    <w:rsid w:val="00161AC1"/>
    <w:rsid w:val="00162AAE"/>
    <w:rsid w:val="001659FC"/>
    <w:rsid w:val="00167629"/>
    <w:rsid w:val="00172388"/>
    <w:rsid w:val="0017243E"/>
    <w:rsid w:val="00172DFA"/>
    <w:rsid w:val="00174869"/>
    <w:rsid w:val="00174DE8"/>
    <w:rsid w:val="00177084"/>
    <w:rsid w:val="001808BE"/>
    <w:rsid w:val="001815D9"/>
    <w:rsid w:val="00185256"/>
    <w:rsid w:val="00197D0B"/>
    <w:rsid w:val="001A5866"/>
    <w:rsid w:val="001A5CAB"/>
    <w:rsid w:val="001B53D9"/>
    <w:rsid w:val="001B7372"/>
    <w:rsid w:val="001C15F8"/>
    <w:rsid w:val="001C3B29"/>
    <w:rsid w:val="001C7A30"/>
    <w:rsid w:val="001C7B14"/>
    <w:rsid w:val="001D139A"/>
    <w:rsid w:val="001D215E"/>
    <w:rsid w:val="001D29E6"/>
    <w:rsid w:val="001D2F20"/>
    <w:rsid w:val="001D2FB4"/>
    <w:rsid w:val="001E3123"/>
    <w:rsid w:val="001E58BE"/>
    <w:rsid w:val="001E7299"/>
    <w:rsid w:val="001F3539"/>
    <w:rsid w:val="001F69D3"/>
    <w:rsid w:val="0020074E"/>
    <w:rsid w:val="0020457C"/>
    <w:rsid w:val="002071D1"/>
    <w:rsid w:val="002074BB"/>
    <w:rsid w:val="00211969"/>
    <w:rsid w:val="00211F4D"/>
    <w:rsid w:val="00215D6F"/>
    <w:rsid w:val="002171D6"/>
    <w:rsid w:val="002175C2"/>
    <w:rsid w:val="00221A31"/>
    <w:rsid w:val="0022295C"/>
    <w:rsid w:val="00222E95"/>
    <w:rsid w:val="00224308"/>
    <w:rsid w:val="002257AA"/>
    <w:rsid w:val="00232029"/>
    <w:rsid w:val="00233B2F"/>
    <w:rsid w:val="0023799A"/>
    <w:rsid w:val="00242FBE"/>
    <w:rsid w:val="00244DF9"/>
    <w:rsid w:val="00245A50"/>
    <w:rsid w:val="00246C7F"/>
    <w:rsid w:val="00251790"/>
    <w:rsid w:val="00251FAF"/>
    <w:rsid w:val="002541E4"/>
    <w:rsid w:val="002578BA"/>
    <w:rsid w:val="002607FA"/>
    <w:rsid w:val="00261343"/>
    <w:rsid w:val="00264854"/>
    <w:rsid w:val="0027362B"/>
    <w:rsid w:val="00276569"/>
    <w:rsid w:val="002826DD"/>
    <w:rsid w:val="002836E2"/>
    <w:rsid w:val="002839CF"/>
    <w:rsid w:val="00284354"/>
    <w:rsid w:val="00292751"/>
    <w:rsid w:val="0029721A"/>
    <w:rsid w:val="002A13EE"/>
    <w:rsid w:val="002A1404"/>
    <w:rsid w:val="002B0AE1"/>
    <w:rsid w:val="002B57B9"/>
    <w:rsid w:val="002B6CA3"/>
    <w:rsid w:val="002C2D1A"/>
    <w:rsid w:val="002C4212"/>
    <w:rsid w:val="002C6743"/>
    <w:rsid w:val="002C6E0E"/>
    <w:rsid w:val="002D013D"/>
    <w:rsid w:val="002D17EC"/>
    <w:rsid w:val="002D4551"/>
    <w:rsid w:val="002D50B1"/>
    <w:rsid w:val="002D7050"/>
    <w:rsid w:val="002E0B06"/>
    <w:rsid w:val="002E1F29"/>
    <w:rsid w:val="002E3A4D"/>
    <w:rsid w:val="002E7B0B"/>
    <w:rsid w:val="002F0392"/>
    <w:rsid w:val="002F18E6"/>
    <w:rsid w:val="002F20FB"/>
    <w:rsid w:val="002F29D6"/>
    <w:rsid w:val="00303190"/>
    <w:rsid w:val="00303EA3"/>
    <w:rsid w:val="003102F5"/>
    <w:rsid w:val="0031220F"/>
    <w:rsid w:val="00320D40"/>
    <w:rsid w:val="0032286E"/>
    <w:rsid w:val="00323D49"/>
    <w:rsid w:val="00324A74"/>
    <w:rsid w:val="0032701D"/>
    <w:rsid w:val="003271A1"/>
    <w:rsid w:val="0032720A"/>
    <w:rsid w:val="00327566"/>
    <w:rsid w:val="00332D51"/>
    <w:rsid w:val="00334E98"/>
    <w:rsid w:val="0034005B"/>
    <w:rsid w:val="0034097B"/>
    <w:rsid w:val="003412BF"/>
    <w:rsid w:val="00351922"/>
    <w:rsid w:val="003521B2"/>
    <w:rsid w:val="00356E3C"/>
    <w:rsid w:val="00357CB1"/>
    <w:rsid w:val="00360D3F"/>
    <w:rsid w:val="00360E03"/>
    <w:rsid w:val="003627CD"/>
    <w:rsid w:val="00366F40"/>
    <w:rsid w:val="00367129"/>
    <w:rsid w:val="003715F5"/>
    <w:rsid w:val="00372F1A"/>
    <w:rsid w:val="003820DE"/>
    <w:rsid w:val="00385947"/>
    <w:rsid w:val="003964AC"/>
    <w:rsid w:val="003A52F7"/>
    <w:rsid w:val="003A5872"/>
    <w:rsid w:val="003A6134"/>
    <w:rsid w:val="003B2FF3"/>
    <w:rsid w:val="003B3D77"/>
    <w:rsid w:val="003B3FFA"/>
    <w:rsid w:val="003B5FF8"/>
    <w:rsid w:val="003B78D9"/>
    <w:rsid w:val="003C1974"/>
    <w:rsid w:val="003C5400"/>
    <w:rsid w:val="003C570D"/>
    <w:rsid w:val="003C5EFD"/>
    <w:rsid w:val="003C73AF"/>
    <w:rsid w:val="003D212C"/>
    <w:rsid w:val="003D6DE8"/>
    <w:rsid w:val="003D7032"/>
    <w:rsid w:val="003E355A"/>
    <w:rsid w:val="003E3C52"/>
    <w:rsid w:val="003E4A44"/>
    <w:rsid w:val="003E72DE"/>
    <w:rsid w:val="003F42AC"/>
    <w:rsid w:val="00402B93"/>
    <w:rsid w:val="00406D92"/>
    <w:rsid w:val="00412E4E"/>
    <w:rsid w:val="004158DF"/>
    <w:rsid w:val="00415992"/>
    <w:rsid w:val="00415E11"/>
    <w:rsid w:val="00417F1C"/>
    <w:rsid w:val="00421A9E"/>
    <w:rsid w:val="0042330A"/>
    <w:rsid w:val="004272B1"/>
    <w:rsid w:val="0043538D"/>
    <w:rsid w:val="004364A1"/>
    <w:rsid w:val="00450595"/>
    <w:rsid w:val="004640E0"/>
    <w:rsid w:val="00464F25"/>
    <w:rsid w:val="00466491"/>
    <w:rsid w:val="00473FEC"/>
    <w:rsid w:val="00482C2C"/>
    <w:rsid w:val="00493AB5"/>
    <w:rsid w:val="00495170"/>
    <w:rsid w:val="00496C6E"/>
    <w:rsid w:val="00497CEF"/>
    <w:rsid w:val="004A5069"/>
    <w:rsid w:val="004B29CB"/>
    <w:rsid w:val="004B2A5D"/>
    <w:rsid w:val="004B4AC3"/>
    <w:rsid w:val="004C04C9"/>
    <w:rsid w:val="004C33C5"/>
    <w:rsid w:val="004C408E"/>
    <w:rsid w:val="004C582F"/>
    <w:rsid w:val="004D108E"/>
    <w:rsid w:val="004E02A0"/>
    <w:rsid w:val="004E2106"/>
    <w:rsid w:val="004E2759"/>
    <w:rsid w:val="004E2C93"/>
    <w:rsid w:val="004E675C"/>
    <w:rsid w:val="004F27A8"/>
    <w:rsid w:val="004F4965"/>
    <w:rsid w:val="005022DB"/>
    <w:rsid w:val="005062DB"/>
    <w:rsid w:val="00510625"/>
    <w:rsid w:val="005115CE"/>
    <w:rsid w:val="0051722D"/>
    <w:rsid w:val="00521F11"/>
    <w:rsid w:val="005234D1"/>
    <w:rsid w:val="00524F03"/>
    <w:rsid w:val="005429D3"/>
    <w:rsid w:val="00546729"/>
    <w:rsid w:val="00546E2D"/>
    <w:rsid w:val="00547410"/>
    <w:rsid w:val="00557B66"/>
    <w:rsid w:val="00565CE0"/>
    <w:rsid w:val="0056769B"/>
    <w:rsid w:val="00567735"/>
    <w:rsid w:val="0057238E"/>
    <w:rsid w:val="00575454"/>
    <w:rsid w:val="0058029D"/>
    <w:rsid w:val="00581ED5"/>
    <w:rsid w:val="005847F2"/>
    <w:rsid w:val="00587689"/>
    <w:rsid w:val="005932C4"/>
    <w:rsid w:val="00593400"/>
    <w:rsid w:val="0059608B"/>
    <w:rsid w:val="005A099B"/>
    <w:rsid w:val="005A1886"/>
    <w:rsid w:val="005A37D4"/>
    <w:rsid w:val="005A5397"/>
    <w:rsid w:val="005A54C8"/>
    <w:rsid w:val="005C298D"/>
    <w:rsid w:val="005C3041"/>
    <w:rsid w:val="005C6B1C"/>
    <w:rsid w:val="005D5343"/>
    <w:rsid w:val="005D60A5"/>
    <w:rsid w:val="005D6847"/>
    <w:rsid w:val="005D7E33"/>
    <w:rsid w:val="005E6A94"/>
    <w:rsid w:val="005F0956"/>
    <w:rsid w:val="005F2205"/>
    <w:rsid w:val="005F3604"/>
    <w:rsid w:val="005F7B5B"/>
    <w:rsid w:val="006009ED"/>
    <w:rsid w:val="006035D4"/>
    <w:rsid w:val="00607091"/>
    <w:rsid w:val="006077D3"/>
    <w:rsid w:val="00610A79"/>
    <w:rsid w:val="00610B88"/>
    <w:rsid w:val="006119B0"/>
    <w:rsid w:val="00613EA2"/>
    <w:rsid w:val="00616BCA"/>
    <w:rsid w:val="00626181"/>
    <w:rsid w:val="00626DB8"/>
    <w:rsid w:val="0063119E"/>
    <w:rsid w:val="006336E0"/>
    <w:rsid w:val="006348AB"/>
    <w:rsid w:val="00635B03"/>
    <w:rsid w:val="0063641C"/>
    <w:rsid w:val="00636483"/>
    <w:rsid w:val="00642E0C"/>
    <w:rsid w:val="00643EF0"/>
    <w:rsid w:val="00650F74"/>
    <w:rsid w:val="00651587"/>
    <w:rsid w:val="00651AE1"/>
    <w:rsid w:val="00656DE4"/>
    <w:rsid w:val="00661426"/>
    <w:rsid w:val="006621E0"/>
    <w:rsid w:val="00670C59"/>
    <w:rsid w:val="00672B80"/>
    <w:rsid w:val="00674393"/>
    <w:rsid w:val="006759BA"/>
    <w:rsid w:val="006835B8"/>
    <w:rsid w:val="00685AA6"/>
    <w:rsid w:val="00691AA9"/>
    <w:rsid w:val="006949C2"/>
    <w:rsid w:val="006A0CD6"/>
    <w:rsid w:val="006A27D8"/>
    <w:rsid w:val="006A3174"/>
    <w:rsid w:val="006A5078"/>
    <w:rsid w:val="006A7175"/>
    <w:rsid w:val="006A73B0"/>
    <w:rsid w:val="006B24F4"/>
    <w:rsid w:val="006B3373"/>
    <w:rsid w:val="006B34C1"/>
    <w:rsid w:val="006C4582"/>
    <w:rsid w:val="006C5957"/>
    <w:rsid w:val="006C6238"/>
    <w:rsid w:val="006F3899"/>
    <w:rsid w:val="006F7BC3"/>
    <w:rsid w:val="0070115B"/>
    <w:rsid w:val="007040EF"/>
    <w:rsid w:val="00713B52"/>
    <w:rsid w:val="007220C0"/>
    <w:rsid w:val="007229D1"/>
    <w:rsid w:val="007247BF"/>
    <w:rsid w:val="0072727D"/>
    <w:rsid w:val="0073003D"/>
    <w:rsid w:val="00731E34"/>
    <w:rsid w:val="00733F58"/>
    <w:rsid w:val="00744840"/>
    <w:rsid w:val="0074667F"/>
    <w:rsid w:val="00746CCF"/>
    <w:rsid w:val="00760459"/>
    <w:rsid w:val="0076464F"/>
    <w:rsid w:val="00770FF1"/>
    <w:rsid w:val="007710EC"/>
    <w:rsid w:val="00772128"/>
    <w:rsid w:val="007723E4"/>
    <w:rsid w:val="0077461E"/>
    <w:rsid w:val="007772C9"/>
    <w:rsid w:val="00777769"/>
    <w:rsid w:val="00782755"/>
    <w:rsid w:val="00783911"/>
    <w:rsid w:val="00787F28"/>
    <w:rsid w:val="00791312"/>
    <w:rsid w:val="00792E53"/>
    <w:rsid w:val="0079363C"/>
    <w:rsid w:val="00794C87"/>
    <w:rsid w:val="007A0234"/>
    <w:rsid w:val="007A49EF"/>
    <w:rsid w:val="007A7609"/>
    <w:rsid w:val="007B33CE"/>
    <w:rsid w:val="007B3CA8"/>
    <w:rsid w:val="007C128A"/>
    <w:rsid w:val="007C272B"/>
    <w:rsid w:val="007C67BC"/>
    <w:rsid w:val="007C7BA3"/>
    <w:rsid w:val="007C7C46"/>
    <w:rsid w:val="007D2EBD"/>
    <w:rsid w:val="007D317B"/>
    <w:rsid w:val="007D3315"/>
    <w:rsid w:val="007D34E2"/>
    <w:rsid w:val="007D4FEA"/>
    <w:rsid w:val="007D57AC"/>
    <w:rsid w:val="007D7286"/>
    <w:rsid w:val="007D7403"/>
    <w:rsid w:val="007E1D86"/>
    <w:rsid w:val="007E213F"/>
    <w:rsid w:val="007E74E3"/>
    <w:rsid w:val="007E76E2"/>
    <w:rsid w:val="007F0479"/>
    <w:rsid w:val="007F42B2"/>
    <w:rsid w:val="007F4DC2"/>
    <w:rsid w:val="007F5C25"/>
    <w:rsid w:val="007F7E38"/>
    <w:rsid w:val="008024BE"/>
    <w:rsid w:val="008032EB"/>
    <w:rsid w:val="0080583A"/>
    <w:rsid w:val="00814509"/>
    <w:rsid w:val="00815E6E"/>
    <w:rsid w:val="0082217D"/>
    <w:rsid w:val="00822ACD"/>
    <w:rsid w:val="008238CA"/>
    <w:rsid w:val="00825CF6"/>
    <w:rsid w:val="008328C2"/>
    <w:rsid w:val="00834B21"/>
    <w:rsid w:val="0084157A"/>
    <w:rsid w:val="0084172C"/>
    <w:rsid w:val="0084213D"/>
    <w:rsid w:val="00842FB6"/>
    <w:rsid w:val="008436EA"/>
    <w:rsid w:val="008446A7"/>
    <w:rsid w:val="0084485A"/>
    <w:rsid w:val="00847026"/>
    <w:rsid w:val="008603BB"/>
    <w:rsid w:val="00863D86"/>
    <w:rsid w:val="00867B16"/>
    <w:rsid w:val="008700CA"/>
    <w:rsid w:val="00870AF3"/>
    <w:rsid w:val="00873477"/>
    <w:rsid w:val="00873B06"/>
    <w:rsid w:val="0087542F"/>
    <w:rsid w:val="008807F8"/>
    <w:rsid w:val="008834FA"/>
    <w:rsid w:val="008849BD"/>
    <w:rsid w:val="008854C8"/>
    <w:rsid w:val="0088556E"/>
    <w:rsid w:val="00887CC8"/>
    <w:rsid w:val="008903B0"/>
    <w:rsid w:val="00892AF0"/>
    <w:rsid w:val="00893649"/>
    <w:rsid w:val="008964C3"/>
    <w:rsid w:val="008A1F5C"/>
    <w:rsid w:val="008A3D6B"/>
    <w:rsid w:val="008A66FA"/>
    <w:rsid w:val="008A67E0"/>
    <w:rsid w:val="008B0CA4"/>
    <w:rsid w:val="008B1331"/>
    <w:rsid w:val="008B25D2"/>
    <w:rsid w:val="008B2D42"/>
    <w:rsid w:val="008B50D5"/>
    <w:rsid w:val="008B5FBB"/>
    <w:rsid w:val="008B7A41"/>
    <w:rsid w:val="008C1BCA"/>
    <w:rsid w:val="008C1F23"/>
    <w:rsid w:val="008C24B6"/>
    <w:rsid w:val="008C3B1D"/>
    <w:rsid w:val="008C3DC6"/>
    <w:rsid w:val="008C533C"/>
    <w:rsid w:val="008C55BE"/>
    <w:rsid w:val="008C5649"/>
    <w:rsid w:val="008D0B80"/>
    <w:rsid w:val="008D28AD"/>
    <w:rsid w:val="008D2D2B"/>
    <w:rsid w:val="008D4234"/>
    <w:rsid w:val="008E42B7"/>
    <w:rsid w:val="008E48A8"/>
    <w:rsid w:val="008F37D3"/>
    <w:rsid w:val="008F7943"/>
    <w:rsid w:val="009004CC"/>
    <w:rsid w:val="00903612"/>
    <w:rsid w:val="009066CE"/>
    <w:rsid w:val="00913844"/>
    <w:rsid w:val="00915EB7"/>
    <w:rsid w:val="0092273B"/>
    <w:rsid w:val="00923816"/>
    <w:rsid w:val="00926C31"/>
    <w:rsid w:val="00930293"/>
    <w:rsid w:val="009339FC"/>
    <w:rsid w:val="009373DF"/>
    <w:rsid w:val="00942D16"/>
    <w:rsid w:val="009473C1"/>
    <w:rsid w:val="00947B5C"/>
    <w:rsid w:val="009520FE"/>
    <w:rsid w:val="0095673E"/>
    <w:rsid w:val="00962267"/>
    <w:rsid w:val="009623D3"/>
    <w:rsid w:val="00964E3D"/>
    <w:rsid w:val="009667E4"/>
    <w:rsid w:val="00970AD6"/>
    <w:rsid w:val="009724BE"/>
    <w:rsid w:val="00972A76"/>
    <w:rsid w:val="009755DA"/>
    <w:rsid w:val="00977C24"/>
    <w:rsid w:val="0098250B"/>
    <w:rsid w:val="009841FC"/>
    <w:rsid w:val="00984261"/>
    <w:rsid w:val="00984DE0"/>
    <w:rsid w:val="009914FC"/>
    <w:rsid w:val="0099472E"/>
    <w:rsid w:val="00995160"/>
    <w:rsid w:val="009964FD"/>
    <w:rsid w:val="0099714A"/>
    <w:rsid w:val="009A170F"/>
    <w:rsid w:val="009A675C"/>
    <w:rsid w:val="009B1418"/>
    <w:rsid w:val="009B25D4"/>
    <w:rsid w:val="009B3E34"/>
    <w:rsid w:val="009B4F61"/>
    <w:rsid w:val="009B6FAB"/>
    <w:rsid w:val="009C0DC3"/>
    <w:rsid w:val="009C5AD6"/>
    <w:rsid w:val="009D147D"/>
    <w:rsid w:val="009F189A"/>
    <w:rsid w:val="009F3DD5"/>
    <w:rsid w:val="009F4A01"/>
    <w:rsid w:val="009F4BA4"/>
    <w:rsid w:val="009F7AD2"/>
    <w:rsid w:val="009F7C3C"/>
    <w:rsid w:val="00A0248D"/>
    <w:rsid w:val="00A049FF"/>
    <w:rsid w:val="00A12F66"/>
    <w:rsid w:val="00A2041C"/>
    <w:rsid w:val="00A20993"/>
    <w:rsid w:val="00A2123E"/>
    <w:rsid w:val="00A24F3D"/>
    <w:rsid w:val="00A302E3"/>
    <w:rsid w:val="00A358E5"/>
    <w:rsid w:val="00A359C3"/>
    <w:rsid w:val="00A364B2"/>
    <w:rsid w:val="00A412A9"/>
    <w:rsid w:val="00A45EBE"/>
    <w:rsid w:val="00A50657"/>
    <w:rsid w:val="00A51193"/>
    <w:rsid w:val="00A52339"/>
    <w:rsid w:val="00A54618"/>
    <w:rsid w:val="00A56E9E"/>
    <w:rsid w:val="00A57054"/>
    <w:rsid w:val="00A616D3"/>
    <w:rsid w:val="00A61D57"/>
    <w:rsid w:val="00A62132"/>
    <w:rsid w:val="00A700BD"/>
    <w:rsid w:val="00A70596"/>
    <w:rsid w:val="00A70A18"/>
    <w:rsid w:val="00A70B50"/>
    <w:rsid w:val="00A76A64"/>
    <w:rsid w:val="00A76EFB"/>
    <w:rsid w:val="00A811D2"/>
    <w:rsid w:val="00A8254A"/>
    <w:rsid w:val="00A8317C"/>
    <w:rsid w:val="00A831A5"/>
    <w:rsid w:val="00A846B3"/>
    <w:rsid w:val="00A85A85"/>
    <w:rsid w:val="00A86889"/>
    <w:rsid w:val="00A87CD8"/>
    <w:rsid w:val="00A9040F"/>
    <w:rsid w:val="00A92DA2"/>
    <w:rsid w:val="00A9344B"/>
    <w:rsid w:val="00A94CCE"/>
    <w:rsid w:val="00AB25A7"/>
    <w:rsid w:val="00AB26E1"/>
    <w:rsid w:val="00AB7199"/>
    <w:rsid w:val="00AB768F"/>
    <w:rsid w:val="00AC2464"/>
    <w:rsid w:val="00AC3E02"/>
    <w:rsid w:val="00AD02D8"/>
    <w:rsid w:val="00AD052A"/>
    <w:rsid w:val="00AD18C2"/>
    <w:rsid w:val="00AD3566"/>
    <w:rsid w:val="00AD4E7C"/>
    <w:rsid w:val="00AD6C39"/>
    <w:rsid w:val="00AE192C"/>
    <w:rsid w:val="00AE6ECD"/>
    <w:rsid w:val="00AF0A54"/>
    <w:rsid w:val="00AF1343"/>
    <w:rsid w:val="00AF48FD"/>
    <w:rsid w:val="00AF50CD"/>
    <w:rsid w:val="00AF7490"/>
    <w:rsid w:val="00B00610"/>
    <w:rsid w:val="00B019D5"/>
    <w:rsid w:val="00B02B79"/>
    <w:rsid w:val="00B0393A"/>
    <w:rsid w:val="00B11BEA"/>
    <w:rsid w:val="00B1348C"/>
    <w:rsid w:val="00B16EFB"/>
    <w:rsid w:val="00B2696C"/>
    <w:rsid w:val="00B31967"/>
    <w:rsid w:val="00B34869"/>
    <w:rsid w:val="00B41BA2"/>
    <w:rsid w:val="00B461D0"/>
    <w:rsid w:val="00B5169A"/>
    <w:rsid w:val="00B51EDF"/>
    <w:rsid w:val="00B52856"/>
    <w:rsid w:val="00B54AFE"/>
    <w:rsid w:val="00B550FC"/>
    <w:rsid w:val="00B560C5"/>
    <w:rsid w:val="00B57E6F"/>
    <w:rsid w:val="00B607C6"/>
    <w:rsid w:val="00B60C6D"/>
    <w:rsid w:val="00B61CB3"/>
    <w:rsid w:val="00B620F0"/>
    <w:rsid w:val="00B63D0E"/>
    <w:rsid w:val="00B663D1"/>
    <w:rsid w:val="00B806BF"/>
    <w:rsid w:val="00B81426"/>
    <w:rsid w:val="00B85AEA"/>
    <w:rsid w:val="00B904CD"/>
    <w:rsid w:val="00B92A25"/>
    <w:rsid w:val="00B93404"/>
    <w:rsid w:val="00B9535F"/>
    <w:rsid w:val="00BA257C"/>
    <w:rsid w:val="00BA6F17"/>
    <w:rsid w:val="00BB215C"/>
    <w:rsid w:val="00BB443C"/>
    <w:rsid w:val="00BB4C55"/>
    <w:rsid w:val="00BB4DD3"/>
    <w:rsid w:val="00BC006C"/>
    <w:rsid w:val="00BC0DE9"/>
    <w:rsid w:val="00BC1A33"/>
    <w:rsid w:val="00BC3662"/>
    <w:rsid w:val="00BC6BC1"/>
    <w:rsid w:val="00BD1081"/>
    <w:rsid w:val="00BD4F80"/>
    <w:rsid w:val="00BD58D6"/>
    <w:rsid w:val="00BE14C0"/>
    <w:rsid w:val="00BE69D3"/>
    <w:rsid w:val="00BE70B9"/>
    <w:rsid w:val="00BF06E5"/>
    <w:rsid w:val="00BF2628"/>
    <w:rsid w:val="00BF68E3"/>
    <w:rsid w:val="00C01983"/>
    <w:rsid w:val="00C05071"/>
    <w:rsid w:val="00C05D4F"/>
    <w:rsid w:val="00C1337A"/>
    <w:rsid w:val="00C15226"/>
    <w:rsid w:val="00C154E1"/>
    <w:rsid w:val="00C16953"/>
    <w:rsid w:val="00C2397E"/>
    <w:rsid w:val="00C30A5C"/>
    <w:rsid w:val="00C31259"/>
    <w:rsid w:val="00C320C1"/>
    <w:rsid w:val="00C32ADA"/>
    <w:rsid w:val="00C33A8F"/>
    <w:rsid w:val="00C33D5F"/>
    <w:rsid w:val="00C342B0"/>
    <w:rsid w:val="00C353F6"/>
    <w:rsid w:val="00C405A1"/>
    <w:rsid w:val="00C40C6B"/>
    <w:rsid w:val="00C423E4"/>
    <w:rsid w:val="00C44DA4"/>
    <w:rsid w:val="00C450C0"/>
    <w:rsid w:val="00C45C2C"/>
    <w:rsid w:val="00C53ACC"/>
    <w:rsid w:val="00C56AB5"/>
    <w:rsid w:val="00C60C48"/>
    <w:rsid w:val="00C620A3"/>
    <w:rsid w:val="00C704E6"/>
    <w:rsid w:val="00C707B8"/>
    <w:rsid w:val="00C75789"/>
    <w:rsid w:val="00C7713C"/>
    <w:rsid w:val="00C807FB"/>
    <w:rsid w:val="00C815C0"/>
    <w:rsid w:val="00C82BE1"/>
    <w:rsid w:val="00C90543"/>
    <w:rsid w:val="00C91148"/>
    <w:rsid w:val="00C9145E"/>
    <w:rsid w:val="00C9230B"/>
    <w:rsid w:val="00C93260"/>
    <w:rsid w:val="00C94844"/>
    <w:rsid w:val="00C96FB0"/>
    <w:rsid w:val="00CA084A"/>
    <w:rsid w:val="00CA1ED1"/>
    <w:rsid w:val="00CA5DA0"/>
    <w:rsid w:val="00CB087F"/>
    <w:rsid w:val="00CB0CD8"/>
    <w:rsid w:val="00CB1F55"/>
    <w:rsid w:val="00CB327B"/>
    <w:rsid w:val="00CC7459"/>
    <w:rsid w:val="00CD37CD"/>
    <w:rsid w:val="00CD494C"/>
    <w:rsid w:val="00CD6CB9"/>
    <w:rsid w:val="00CD758F"/>
    <w:rsid w:val="00CE55B1"/>
    <w:rsid w:val="00CE5E4E"/>
    <w:rsid w:val="00CF0B40"/>
    <w:rsid w:val="00CF17C3"/>
    <w:rsid w:val="00D02A15"/>
    <w:rsid w:val="00D02BD3"/>
    <w:rsid w:val="00D03050"/>
    <w:rsid w:val="00D0498C"/>
    <w:rsid w:val="00D160C3"/>
    <w:rsid w:val="00D16BB2"/>
    <w:rsid w:val="00D20048"/>
    <w:rsid w:val="00D21BC6"/>
    <w:rsid w:val="00D224E3"/>
    <w:rsid w:val="00D24220"/>
    <w:rsid w:val="00D259FB"/>
    <w:rsid w:val="00D272D3"/>
    <w:rsid w:val="00D33CE7"/>
    <w:rsid w:val="00D37718"/>
    <w:rsid w:val="00D37B85"/>
    <w:rsid w:val="00D40189"/>
    <w:rsid w:val="00D4345C"/>
    <w:rsid w:val="00D43772"/>
    <w:rsid w:val="00D452CE"/>
    <w:rsid w:val="00D455C7"/>
    <w:rsid w:val="00D45674"/>
    <w:rsid w:val="00D50CB0"/>
    <w:rsid w:val="00D51F7C"/>
    <w:rsid w:val="00D52919"/>
    <w:rsid w:val="00D53E04"/>
    <w:rsid w:val="00D56578"/>
    <w:rsid w:val="00D569C1"/>
    <w:rsid w:val="00D56FF5"/>
    <w:rsid w:val="00D570BC"/>
    <w:rsid w:val="00D61681"/>
    <w:rsid w:val="00D720AA"/>
    <w:rsid w:val="00D74541"/>
    <w:rsid w:val="00D748F6"/>
    <w:rsid w:val="00D77AB8"/>
    <w:rsid w:val="00D85D87"/>
    <w:rsid w:val="00D863AC"/>
    <w:rsid w:val="00D966EF"/>
    <w:rsid w:val="00D9705B"/>
    <w:rsid w:val="00DA0A96"/>
    <w:rsid w:val="00DA2FDF"/>
    <w:rsid w:val="00DA3040"/>
    <w:rsid w:val="00DA38D5"/>
    <w:rsid w:val="00DA529D"/>
    <w:rsid w:val="00DA785E"/>
    <w:rsid w:val="00DA7A8E"/>
    <w:rsid w:val="00DB7FF7"/>
    <w:rsid w:val="00DC073A"/>
    <w:rsid w:val="00DC0989"/>
    <w:rsid w:val="00DC1818"/>
    <w:rsid w:val="00DC1E0C"/>
    <w:rsid w:val="00DC2D03"/>
    <w:rsid w:val="00DC3835"/>
    <w:rsid w:val="00DC74BE"/>
    <w:rsid w:val="00DD1D4F"/>
    <w:rsid w:val="00DD3124"/>
    <w:rsid w:val="00DD49C5"/>
    <w:rsid w:val="00DD4DD6"/>
    <w:rsid w:val="00DD5336"/>
    <w:rsid w:val="00DE012E"/>
    <w:rsid w:val="00DE4D68"/>
    <w:rsid w:val="00DE5133"/>
    <w:rsid w:val="00DE6422"/>
    <w:rsid w:val="00DF1F16"/>
    <w:rsid w:val="00DF4CFC"/>
    <w:rsid w:val="00DF6B18"/>
    <w:rsid w:val="00DF7D34"/>
    <w:rsid w:val="00E044A8"/>
    <w:rsid w:val="00E04EA0"/>
    <w:rsid w:val="00E1335F"/>
    <w:rsid w:val="00E1376F"/>
    <w:rsid w:val="00E14F00"/>
    <w:rsid w:val="00E20F55"/>
    <w:rsid w:val="00E21F1C"/>
    <w:rsid w:val="00E23968"/>
    <w:rsid w:val="00E26E06"/>
    <w:rsid w:val="00E270B0"/>
    <w:rsid w:val="00E272CB"/>
    <w:rsid w:val="00E3433C"/>
    <w:rsid w:val="00E351F9"/>
    <w:rsid w:val="00E4120D"/>
    <w:rsid w:val="00E41667"/>
    <w:rsid w:val="00E428F2"/>
    <w:rsid w:val="00E43E06"/>
    <w:rsid w:val="00E463DC"/>
    <w:rsid w:val="00E478E2"/>
    <w:rsid w:val="00E52D3D"/>
    <w:rsid w:val="00E532EE"/>
    <w:rsid w:val="00E53ED4"/>
    <w:rsid w:val="00E549E1"/>
    <w:rsid w:val="00E56A13"/>
    <w:rsid w:val="00E64E3C"/>
    <w:rsid w:val="00E65EF4"/>
    <w:rsid w:val="00E67E54"/>
    <w:rsid w:val="00E70E83"/>
    <w:rsid w:val="00E74980"/>
    <w:rsid w:val="00E75995"/>
    <w:rsid w:val="00E814CF"/>
    <w:rsid w:val="00E82DD0"/>
    <w:rsid w:val="00E85E0E"/>
    <w:rsid w:val="00E912EE"/>
    <w:rsid w:val="00E94C73"/>
    <w:rsid w:val="00EA195F"/>
    <w:rsid w:val="00EA553E"/>
    <w:rsid w:val="00EA6E0E"/>
    <w:rsid w:val="00EA76AE"/>
    <w:rsid w:val="00EB07AB"/>
    <w:rsid w:val="00EB20FC"/>
    <w:rsid w:val="00EB4CB3"/>
    <w:rsid w:val="00EB68FF"/>
    <w:rsid w:val="00EC655A"/>
    <w:rsid w:val="00EC7DA4"/>
    <w:rsid w:val="00ED04A2"/>
    <w:rsid w:val="00ED4198"/>
    <w:rsid w:val="00ED440A"/>
    <w:rsid w:val="00EE0264"/>
    <w:rsid w:val="00EE02C4"/>
    <w:rsid w:val="00EE1A32"/>
    <w:rsid w:val="00EE33C0"/>
    <w:rsid w:val="00EE6140"/>
    <w:rsid w:val="00EF04B5"/>
    <w:rsid w:val="00EF5E3C"/>
    <w:rsid w:val="00F00876"/>
    <w:rsid w:val="00F01A6D"/>
    <w:rsid w:val="00F029B6"/>
    <w:rsid w:val="00F10D71"/>
    <w:rsid w:val="00F150BE"/>
    <w:rsid w:val="00F16E0F"/>
    <w:rsid w:val="00F210F9"/>
    <w:rsid w:val="00F21E8C"/>
    <w:rsid w:val="00F22F77"/>
    <w:rsid w:val="00F264A0"/>
    <w:rsid w:val="00F331F2"/>
    <w:rsid w:val="00F33228"/>
    <w:rsid w:val="00F339BB"/>
    <w:rsid w:val="00F352A0"/>
    <w:rsid w:val="00F36B18"/>
    <w:rsid w:val="00F37A43"/>
    <w:rsid w:val="00F408D6"/>
    <w:rsid w:val="00F42CEA"/>
    <w:rsid w:val="00F44ABC"/>
    <w:rsid w:val="00F451F6"/>
    <w:rsid w:val="00F5191E"/>
    <w:rsid w:val="00F52235"/>
    <w:rsid w:val="00F52A8E"/>
    <w:rsid w:val="00F63D30"/>
    <w:rsid w:val="00F63D62"/>
    <w:rsid w:val="00F706D8"/>
    <w:rsid w:val="00F72C28"/>
    <w:rsid w:val="00F72DA8"/>
    <w:rsid w:val="00F72E52"/>
    <w:rsid w:val="00F77001"/>
    <w:rsid w:val="00F7756A"/>
    <w:rsid w:val="00F843C6"/>
    <w:rsid w:val="00F846E3"/>
    <w:rsid w:val="00F84D44"/>
    <w:rsid w:val="00F85A91"/>
    <w:rsid w:val="00F87E05"/>
    <w:rsid w:val="00F96B2D"/>
    <w:rsid w:val="00FA2782"/>
    <w:rsid w:val="00FA3116"/>
    <w:rsid w:val="00FA36CA"/>
    <w:rsid w:val="00FA5574"/>
    <w:rsid w:val="00FA68D6"/>
    <w:rsid w:val="00FB22BA"/>
    <w:rsid w:val="00FB4225"/>
    <w:rsid w:val="00FB4BB4"/>
    <w:rsid w:val="00FB7397"/>
    <w:rsid w:val="00FC0A45"/>
    <w:rsid w:val="00FD2140"/>
    <w:rsid w:val="00FD258E"/>
    <w:rsid w:val="00FD319C"/>
    <w:rsid w:val="00FD4510"/>
    <w:rsid w:val="00FE3A9B"/>
    <w:rsid w:val="00FE4DDF"/>
    <w:rsid w:val="00FE5552"/>
    <w:rsid w:val="00FF020C"/>
    <w:rsid w:val="00FF094E"/>
    <w:rsid w:val="00FF1CA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6EB06"/>
  <w15:docId w15:val="{C6B9B7F6-9134-4A1F-8B47-1A6230C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Cmsor1">
    <w:name w:val="heading 1"/>
    <w:basedOn w:val="Norml"/>
    <w:next w:val="Norml"/>
    <w:qFormat/>
    <w:rsid w:val="00D56FF5"/>
    <w:pPr>
      <w:ind w:left="357" w:hanging="357"/>
      <w:outlineLvl w:val="0"/>
    </w:pPr>
    <w:rPr>
      <w:b/>
      <w:caps/>
      <w:lang w:val="en-US"/>
    </w:rPr>
  </w:style>
  <w:style w:type="paragraph" w:styleId="Cmsor2">
    <w:name w:val="heading 2"/>
    <w:basedOn w:val="Norml"/>
    <w:next w:val="Norml"/>
    <w:qFormat/>
    <w:rsid w:val="00D56FF5"/>
    <w:pPr>
      <w:keepNext/>
      <w:spacing w:line="240" w:lineRule="auto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noProof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noProof/>
    </w:rPr>
  </w:style>
  <w:style w:type="paragraph" w:styleId="Cmsor6">
    <w:name w:val="heading 6"/>
    <w:basedOn w:val="Norml"/>
    <w:next w:val="Norm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Cmsor7">
    <w:name w:val="heading 7"/>
    <w:basedOn w:val="Norml"/>
    <w:next w:val="Norm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Cmsor8">
    <w:name w:val="heading 8"/>
    <w:basedOn w:val="Norml"/>
    <w:next w:val="Norml"/>
    <w:qFormat/>
    <w:pPr>
      <w:keepNext/>
      <w:ind w:left="567" w:hanging="567"/>
      <w:jc w:val="both"/>
      <w:outlineLvl w:val="7"/>
    </w:pPr>
    <w:rPr>
      <w:b/>
      <w:i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llb">
    <w:name w:val="footer"/>
    <w:basedOn w:val="Norm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Szvegtrzs3">
    <w:name w:val="Body Text 3"/>
    <w:basedOn w:val="Norml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Szvegtrzsbehzssal2">
    <w:name w:val="Body Text Indent 2"/>
    <w:basedOn w:val="Norm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Szvegtrzs">
    <w:name w:val="Body Text"/>
    <w:basedOn w:val="Norml"/>
    <w:pPr>
      <w:tabs>
        <w:tab w:val="clear" w:pos="567"/>
      </w:tabs>
      <w:spacing w:line="240" w:lineRule="auto"/>
    </w:pPr>
    <w:rPr>
      <w:i/>
      <w:color w:val="008000"/>
    </w:rPr>
  </w:style>
  <w:style w:type="paragraph" w:styleId="Szvegtrzs2">
    <w:name w:val="Body Text 2"/>
    <w:basedOn w:val="Norm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customStyle="1" w:styleId="EMEAEnBodyText">
    <w:name w:val="EMEA En Body Text"/>
    <w:basedOn w:val="Norm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Szvegtrzsbehzssal3">
    <w:name w:val="Body Text Indent 3"/>
    <w:basedOn w:val="Norml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val="en-US" w:eastAsia="en-US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C53ACC"/>
    <w:rPr>
      <w:b/>
      <w:bCs/>
    </w:rPr>
  </w:style>
  <w:style w:type="paragraph" w:customStyle="1" w:styleId="BodytextAgency">
    <w:name w:val="Body text (Agency)"/>
    <w:basedOn w:val="Norml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Vltozat">
    <w:name w:val="Revision"/>
    <w:hidden/>
    <w:uiPriority w:val="99"/>
    <w:semiHidden/>
    <w:rsid w:val="004272B1"/>
    <w:rPr>
      <w:sz w:val="22"/>
      <w:lang w:val="en-GB" w:eastAsia="en-US"/>
    </w:rPr>
  </w:style>
  <w:style w:type="paragraph" w:styleId="Listaszerbekezds">
    <w:name w:val="List Paragraph"/>
    <w:basedOn w:val="Norml"/>
    <w:uiPriority w:val="34"/>
    <w:qFormat/>
    <w:rsid w:val="00093AEE"/>
    <w:pPr>
      <w:ind w:left="720"/>
      <w:contextualSpacing/>
    </w:pPr>
  </w:style>
  <w:style w:type="table" w:styleId="Rcsostblzat">
    <w:name w:val="Table Grid"/>
    <w:basedOn w:val="Normltblzat"/>
    <w:rsid w:val="0018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GTextLeft">
    <w:name w:val="MGG Text Left"/>
    <w:basedOn w:val="Szvegtrzs"/>
    <w:rsid w:val="00977C24"/>
    <w:rPr>
      <w:i w:val="0"/>
      <w:color w:val="auto"/>
      <w:szCs w:val="24"/>
    </w:rPr>
  </w:style>
  <w:style w:type="character" w:customStyle="1" w:styleId="JegyzetszvegChar">
    <w:name w:val="Jegyzetszöveg Char"/>
    <w:link w:val="Jegyzetszveg"/>
    <w:rsid w:val="008D28AD"/>
    <w:rPr>
      <w:lang w:val="en-GB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4120D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en-GB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4120D"/>
    <w:rPr>
      <w:rFonts w:ascii="Courier New" w:hAnsi="Courier New" w:cs="Courier New"/>
      <w:lang w:val="en-GB" w:eastAsia="en-GB"/>
    </w:rPr>
  </w:style>
  <w:style w:type="character" w:customStyle="1" w:styleId="lfejChar">
    <w:name w:val="Élőfej Char"/>
    <w:basedOn w:val="Bekezdsalapbettpusa"/>
    <w:link w:val="lfej"/>
    <w:uiPriority w:val="99"/>
    <w:rsid w:val="006A27D8"/>
    <w:rPr>
      <w:rFonts w:ascii="Helvetica" w:hAnsi="Helvetica"/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CF0B40"/>
    <w:pPr>
      <w:tabs>
        <w:tab w:val="clear" w:pos="567"/>
      </w:tabs>
      <w:spacing w:line="240" w:lineRule="auto"/>
    </w:pPr>
    <w:rPr>
      <w:rFonts w:eastAsiaTheme="minorHAnsi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340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1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ma.europa.eu/docs/en_GB/document_library/Template_or_form/2013/03/WC500139752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gyei.gov.hu/gyogyszeradatbazi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0441C0BDD2C4794B5427F3AF27ABA" ma:contentTypeVersion="0" ma:contentTypeDescription="Create a new document." ma:contentTypeScope="" ma:versionID="d63cd3ad74a83850b0e24f1a7d72ea4e">
  <xsd:schema xmlns:xsd="http://www.w3.org/2001/XMLSchema" xmlns:xs="http://www.w3.org/2001/XMLSchema" xmlns:p="http://schemas.microsoft.com/office/2006/metadata/properties" xmlns:ns2="79fb0f74-f3a3-46af-b26f-c89feccff915" targetNamespace="http://schemas.microsoft.com/office/2006/metadata/properties" ma:root="true" ma:fieldsID="02c2e9eb0904ee70e80c847a510fd6ef" ns2:_="">
    <xsd:import namespace="79fb0f74-f3a3-46af-b26f-c89feccff9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0f74-f3a3-46af-b26f-c89feccff9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fb0f74-f3a3-46af-b26f-c89feccff915" xsi:nil="true"/>
    <_dlc_DocIdUrl xmlns="79fb0f74-f3a3-46af-b26f-c89feccff915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BC9DA9-99F3-4918-B35D-88A362DC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0f74-f3a3-46af-b26f-c89feccf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54416-3D28-4ED0-8EB8-B71C0206BF92}">
  <ds:schemaRefs>
    <ds:schemaRef ds:uri="http://schemas.microsoft.com/office/2006/metadata/properties"/>
    <ds:schemaRef ds:uri="http://schemas.microsoft.com/office/infopath/2007/PartnerControls"/>
    <ds:schemaRef ds:uri="79fb0f74-f3a3-46af-b26f-c89feccff915"/>
  </ds:schemaRefs>
</ds:datastoreItem>
</file>

<file path=customXml/itemProps3.xml><?xml version="1.0" encoding="utf-8"?>
<ds:datastoreItem xmlns:ds="http://schemas.openxmlformats.org/officeDocument/2006/customXml" ds:itemID="{59C12A17-84EC-46AE-97EC-4C92038CD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CA1E9-C5E4-4FB7-8868-5ABDB075BE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A61092-85EC-4094-8530-F3E83575F4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4718</Words>
  <Characters>32558</Characters>
  <Application>Microsoft Office Word</Application>
  <DocSecurity>0</DocSecurity>
  <Lines>271</Lines>
  <Paragraphs>74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Hreferralspccleanen</vt:lpstr>
    </vt:vector>
  </TitlesOfParts>
  <Company>EMEA</Company>
  <LinksUpToDate>false</LinksUpToDate>
  <CharactersWithSpaces>37202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General-EMA/53548/2010</dc:subject>
  <dc:creator>European Medicines Agency</dc:creator>
  <cp:lastModifiedBy>Katalin Dobó</cp:lastModifiedBy>
  <cp:revision>2</cp:revision>
  <cp:lastPrinted>2019-05-12T16:31:00Z</cp:lastPrinted>
  <dcterms:created xsi:type="dcterms:W3CDTF">2021-05-21T11:25:00Z</dcterms:created>
  <dcterms:modified xsi:type="dcterms:W3CDTF">2021-05-21T11:25:00Z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General-EMA/53548/2010</vt:lpwstr>
  </property>
  <property fmtid="{D5CDD505-2E9C-101B-9397-08002B2CF9AE}" pid="30" name="DM_Version">
    <vt:lpwstr>CURRENT,1.3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05/02/2016 17:09:34</vt:lpwstr>
  </property>
  <property fmtid="{D5CDD505-2E9C-101B-9397-08002B2CF9AE}" pid="33" name="DM_Modify_Date">
    <vt:lpwstr>05/02/2016 17:10:00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EMA/64179/2016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</vt:lpwstr>
  </property>
  <property fmtid="{D5CDD505-2E9C-101B-9397-08002B2CF9AE}" pid="40" name="DM_emea_doc_ref_id">
    <vt:lpwstr>EMA/64179/2016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05/02/2016 17:10:00</vt:lpwstr>
  </property>
  <property fmtid="{D5CDD505-2E9C-101B-9397-08002B2CF9AE}" pid="43" name="ContentTypeId">
    <vt:lpwstr>0x0101006950441C0BDD2C4794B5427F3AF27ABA</vt:lpwstr>
  </property>
  <property fmtid="{D5CDD505-2E9C-101B-9397-08002B2CF9AE}" pid="44" name="_dlc_DocIdItemGuid">
    <vt:lpwstr>8657bebf-78b6-4e8c-98e3-dba17c776cb7</vt:lpwstr>
  </property>
</Properties>
</file>